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style1.xml" ContentType="application/vnd.ms-office.chartstyle+xml"/>
  <Override PartName="/word/charts/style2.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eastAsia="黑体" w:cs="宋体"/>
          <w:b/>
          <w:sz w:val="52"/>
          <w:szCs w:val="52"/>
          <w:highlight w:val="none"/>
        </w:rPr>
      </w:pPr>
    </w:p>
    <w:p>
      <w:pPr>
        <w:jc w:val="center"/>
        <w:rPr>
          <w:rFonts w:eastAsia="黑体" w:cs="宋体"/>
          <w:b/>
          <w:sz w:val="52"/>
          <w:szCs w:val="52"/>
          <w:highlight w:val="none"/>
        </w:rPr>
      </w:pPr>
    </w:p>
    <w:p>
      <w:pPr>
        <w:spacing w:line="600" w:lineRule="exact"/>
        <w:jc w:val="left"/>
        <w:rPr>
          <w:rFonts w:ascii="Arial" w:hAnsi="Arial" w:eastAsia="Symbol"/>
          <w:b/>
          <w:bCs/>
          <w:sz w:val="32"/>
          <w:szCs w:val="32"/>
          <w:highlight w:val="none"/>
        </w:rPr>
      </w:pPr>
    </w:p>
    <w:p>
      <w:pPr>
        <w:pStyle w:val="2"/>
        <w:rPr>
          <w:rFonts w:hint="default"/>
          <w:highlight w:val="none"/>
        </w:rPr>
      </w:pPr>
    </w:p>
    <w:p>
      <w:pPr>
        <w:spacing w:line="600" w:lineRule="exact"/>
        <w:jc w:val="center"/>
        <w:rPr>
          <w:rFonts w:ascii="Arial" w:hAnsi="Arial" w:eastAsia="宋体"/>
          <w:b/>
          <w:bCs/>
          <w:sz w:val="32"/>
          <w:szCs w:val="32"/>
          <w:highlight w:val="none"/>
        </w:rPr>
      </w:pPr>
    </w:p>
    <w:p>
      <w:pPr>
        <w:spacing w:line="600" w:lineRule="exact"/>
        <w:jc w:val="center"/>
        <w:rPr>
          <w:rFonts w:ascii="Arial" w:hAnsi="Arial" w:eastAsia="宋体"/>
          <w:b/>
          <w:bCs/>
          <w:sz w:val="32"/>
          <w:szCs w:val="32"/>
          <w:highlight w:val="none"/>
        </w:rPr>
      </w:pPr>
    </w:p>
    <w:p>
      <w:pPr>
        <w:spacing w:line="600" w:lineRule="exact"/>
        <w:jc w:val="center"/>
        <w:rPr>
          <w:rFonts w:ascii="Arial" w:hAnsi="Arial" w:eastAsia="宋体"/>
          <w:b/>
          <w:bCs/>
          <w:sz w:val="32"/>
          <w:szCs w:val="32"/>
          <w:highlight w:val="none"/>
        </w:rPr>
      </w:pPr>
    </w:p>
    <w:p>
      <w:pPr>
        <w:spacing w:line="600" w:lineRule="exact"/>
        <w:jc w:val="center"/>
        <w:rPr>
          <w:rFonts w:hint="eastAsia" w:ascii="方正小标宋简体" w:hAnsi="方正小标宋简体" w:eastAsia="方正小标宋简体" w:cs="方正小标宋简体"/>
          <w:sz w:val="44"/>
          <w:szCs w:val="44"/>
          <w:highlight w:val="none"/>
          <w:lang w:eastAsia="zh-CN"/>
        </w:rPr>
      </w:pPr>
      <w:r>
        <w:rPr>
          <w:rFonts w:hint="eastAsia" w:ascii="方正小标宋简体" w:hAnsi="方正小标宋简体" w:eastAsia="方正小标宋简体" w:cs="方正小标宋简体"/>
          <w:sz w:val="44"/>
          <w:szCs w:val="44"/>
          <w:highlight w:val="none"/>
          <w:lang w:val="en-US" w:eastAsia="zh-CN"/>
        </w:rPr>
        <w:t>2026</w:t>
      </w:r>
      <w:r>
        <w:rPr>
          <w:rFonts w:hint="eastAsia" w:ascii="方正小标宋简体" w:hAnsi="方正小标宋简体" w:eastAsia="方正小标宋简体" w:cs="方正小标宋简体"/>
          <w:sz w:val="44"/>
          <w:szCs w:val="44"/>
          <w:highlight w:val="none"/>
        </w:rPr>
        <w:t>年度内蒙古自治区</w:t>
      </w:r>
      <w:r>
        <w:rPr>
          <w:rFonts w:hint="eastAsia" w:ascii="方正小标宋简体" w:hAnsi="方正小标宋简体" w:eastAsia="方正小标宋简体" w:cs="方正小标宋简体"/>
          <w:sz w:val="44"/>
          <w:szCs w:val="44"/>
          <w:highlight w:val="none"/>
          <w:lang w:eastAsia="zh-CN"/>
        </w:rPr>
        <w:t>卫生健康委员会</w:t>
      </w:r>
    </w:p>
    <w:p>
      <w:pPr>
        <w:spacing w:line="600" w:lineRule="exact"/>
        <w:jc w:val="center"/>
        <w:rPr>
          <w:rFonts w:ascii="方正小标宋简体" w:hAnsi="方正小标宋简体" w:eastAsia="方正小标宋简体" w:cs="方正小标宋简体"/>
          <w:sz w:val="44"/>
          <w:szCs w:val="44"/>
          <w:highlight w:val="none"/>
        </w:rPr>
      </w:pPr>
      <w:r>
        <w:rPr>
          <w:rFonts w:hint="eastAsia" w:ascii="方正小标宋简体" w:hAnsi="方正小标宋简体" w:eastAsia="方正小标宋简体" w:cs="方正小标宋简体"/>
          <w:sz w:val="44"/>
          <w:szCs w:val="44"/>
          <w:highlight w:val="none"/>
          <w:lang w:eastAsia="zh-CN"/>
        </w:rPr>
        <w:t>综合保障中心</w:t>
      </w:r>
      <w:r>
        <w:rPr>
          <w:rFonts w:hint="eastAsia" w:ascii="方正小标宋简体" w:hAnsi="方正小标宋简体" w:eastAsia="方正小标宋简体" w:cs="方正小标宋简体"/>
          <w:sz w:val="44"/>
          <w:szCs w:val="44"/>
          <w:highlight w:val="none"/>
        </w:rPr>
        <w:t>预算公开</w:t>
      </w:r>
    </w:p>
    <w:p>
      <w:pPr>
        <w:adjustRightInd w:val="0"/>
        <w:snapToGrid w:val="0"/>
        <w:spacing w:line="600" w:lineRule="exact"/>
        <w:ind w:firstLine="640"/>
        <w:rPr>
          <w:rFonts w:ascii="Times New Roman" w:hAnsi="Times New Roman" w:eastAsia="仿宋_GB2312"/>
          <w:sz w:val="32"/>
          <w:szCs w:val="32"/>
          <w:highlight w:val="none"/>
        </w:rPr>
      </w:pPr>
    </w:p>
    <w:p>
      <w:pPr>
        <w:adjustRightInd w:val="0"/>
        <w:snapToGrid w:val="0"/>
        <w:spacing w:line="600" w:lineRule="exact"/>
        <w:ind w:firstLine="640"/>
        <w:rPr>
          <w:rFonts w:ascii="Times New Roman" w:hAnsi="Times New Roman" w:eastAsia="仿宋_GB2312"/>
          <w:sz w:val="32"/>
          <w:szCs w:val="32"/>
          <w:highlight w:val="none"/>
        </w:rPr>
      </w:pPr>
    </w:p>
    <w:p>
      <w:pPr>
        <w:adjustRightInd w:val="0"/>
        <w:snapToGrid w:val="0"/>
        <w:spacing w:line="600" w:lineRule="exact"/>
        <w:ind w:firstLine="640"/>
        <w:rPr>
          <w:rFonts w:ascii="Times New Roman" w:hAnsi="Times New Roman" w:eastAsia="仿宋_GB2312"/>
          <w:sz w:val="32"/>
          <w:szCs w:val="32"/>
          <w:highlight w:val="none"/>
        </w:rPr>
      </w:pPr>
    </w:p>
    <w:p>
      <w:pPr>
        <w:adjustRightInd w:val="0"/>
        <w:snapToGrid w:val="0"/>
        <w:spacing w:line="600" w:lineRule="exact"/>
        <w:ind w:firstLine="640"/>
        <w:rPr>
          <w:rFonts w:ascii="Times New Roman" w:hAnsi="Times New Roman" w:eastAsia="仿宋_GB2312"/>
          <w:sz w:val="32"/>
          <w:szCs w:val="32"/>
          <w:highlight w:val="none"/>
        </w:rPr>
      </w:pPr>
    </w:p>
    <w:p>
      <w:pPr>
        <w:adjustRightInd w:val="0"/>
        <w:snapToGrid w:val="0"/>
        <w:spacing w:line="600" w:lineRule="exact"/>
        <w:ind w:firstLine="640"/>
        <w:rPr>
          <w:rFonts w:ascii="Times New Roman" w:hAnsi="Times New Roman" w:eastAsia="仿宋_GB2312"/>
          <w:sz w:val="32"/>
          <w:szCs w:val="32"/>
          <w:highlight w:val="none"/>
        </w:rPr>
      </w:pPr>
    </w:p>
    <w:p>
      <w:pPr>
        <w:adjustRightInd w:val="0"/>
        <w:snapToGrid w:val="0"/>
        <w:spacing w:line="600" w:lineRule="exact"/>
        <w:ind w:firstLine="640"/>
        <w:rPr>
          <w:rFonts w:ascii="Times New Roman" w:hAnsi="Times New Roman" w:eastAsia="仿宋_GB2312"/>
          <w:sz w:val="32"/>
          <w:szCs w:val="32"/>
          <w:highlight w:val="none"/>
        </w:rPr>
      </w:pPr>
    </w:p>
    <w:p>
      <w:pPr>
        <w:adjustRightInd w:val="0"/>
        <w:snapToGrid w:val="0"/>
        <w:spacing w:line="600" w:lineRule="exact"/>
        <w:ind w:firstLine="640"/>
        <w:rPr>
          <w:rFonts w:ascii="Times New Roman" w:hAnsi="Times New Roman" w:eastAsia="仿宋_GB2312"/>
          <w:sz w:val="32"/>
          <w:szCs w:val="32"/>
          <w:highlight w:val="none"/>
        </w:rPr>
      </w:pPr>
    </w:p>
    <w:p>
      <w:pPr>
        <w:adjustRightInd w:val="0"/>
        <w:snapToGrid w:val="0"/>
        <w:spacing w:line="600" w:lineRule="exact"/>
        <w:rPr>
          <w:rFonts w:ascii="Times New Roman" w:hAnsi="Times New Roman" w:eastAsia="仿宋_GB2312"/>
          <w:sz w:val="32"/>
          <w:szCs w:val="32"/>
          <w:highlight w:val="none"/>
        </w:rPr>
      </w:pPr>
    </w:p>
    <w:p>
      <w:pPr>
        <w:pStyle w:val="2"/>
        <w:spacing w:after="0" w:line="600" w:lineRule="exact"/>
        <w:ind w:left="0" w:leftChars="0" w:firstLine="0"/>
        <w:jc w:val="center"/>
        <w:rPr>
          <w:rFonts w:hint="default" w:ascii="黑体" w:hAnsi="黑体" w:eastAsia="黑体" w:cs="黑体"/>
          <w:highlight w:val="none"/>
        </w:rPr>
      </w:pPr>
      <w:r>
        <w:rPr>
          <w:rFonts w:ascii="黑体" w:hAnsi="黑体" w:eastAsia="黑体" w:cs="黑体"/>
          <w:sz w:val="32"/>
          <w:szCs w:val="32"/>
          <w:highlight w:val="none"/>
        </w:rPr>
        <w:t>批复时间：</w:t>
      </w:r>
      <w:r>
        <w:rPr>
          <w:rFonts w:hint="eastAsia" w:ascii="黑体" w:hAnsi="黑体" w:eastAsia="黑体" w:cs="黑体"/>
          <w:sz w:val="32"/>
          <w:szCs w:val="32"/>
          <w:highlight w:val="none"/>
          <w:u w:val="single"/>
          <w:lang w:val="en-US" w:eastAsia="zh-CN"/>
        </w:rPr>
        <w:t xml:space="preserve">  2026 </w:t>
      </w:r>
      <w:r>
        <w:rPr>
          <w:rFonts w:ascii="黑体" w:hAnsi="黑体" w:eastAsia="黑体" w:cs="黑体"/>
          <w:sz w:val="32"/>
          <w:szCs w:val="32"/>
          <w:highlight w:val="none"/>
          <w:u w:val="single"/>
        </w:rPr>
        <w:t>年</w:t>
      </w:r>
      <w:r>
        <w:rPr>
          <w:rFonts w:hint="eastAsia" w:ascii="黑体" w:hAnsi="黑体" w:eastAsia="黑体" w:cs="黑体"/>
          <w:sz w:val="32"/>
          <w:szCs w:val="32"/>
          <w:highlight w:val="none"/>
          <w:u w:val="single"/>
          <w:lang w:val="en-US" w:eastAsia="zh-CN"/>
        </w:rPr>
        <w:t xml:space="preserve"> 2 </w:t>
      </w:r>
      <w:r>
        <w:rPr>
          <w:rFonts w:ascii="黑体" w:hAnsi="黑体" w:eastAsia="黑体" w:cs="黑体"/>
          <w:sz w:val="32"/>
          <w:szCs w:val="32"/>
          <w:highlight w:val="none"/>
          <w:u w:val="single"/>
        </w:rPr>
        <w:t xml:space="preserve">月 </w:t>
      </w:r>
      <w:r>
        <w:rPr>
          <w:rFonts w:hint="eastAsia" w:ascii="黑体" w:hAnsi="黑体" w:eastAsia="黑体" w:cs="黑体"/>
          <w:sz w:val="32"/>
          <w:szCs w:val="32"/>
          <w:highlight w:val="none"/>
          <w:u w:val="single"/>
          <w:lang w:val="en-US" w:eastAsia="zh-CN"/>
        </w:rPr>
        <w:t xml:space="preserve">24 </w:t>
      </w:r>
      <w:r>
        <w:rPr>
          <w:rFonts w:ascii="黑体" w:hAnsi="黑体" w:eastAsia="黑体" w:cs="黑体"/>
          <w:sz w:val="32"/>
          <w:szCs w:val="32"/>
          <w:highlight w:val="none"/>
          <w:u w:val="single"/>
        </w:rPr>
        <w:t>日</w:t>
      </w:r>
    </w:p>
    <w:p>
      <w:pPr>
        <w:pStyle w:val="2"/>
        <w:spacing w:after="0" w:line="600" w:lineRule="exact"/>
        <w:ind w:left="0" w:leftChars="0" w:firstLine="0"/>
        <w:jc w:val="center"/>
        <w:rPr>
          <w:rFonts w:hint="default" w:ascii="黑体" w:hAnsi="黑体" w:eastAsia="黑体" w:cs="黑体"/>
          <w:highlight w:val="none"/>
        </w:rPr>
      </w:pPr>
      <w:r>
        <w:rPr>
          <w:rFonts w:ascii="黑体" w:hAnsi="黑体" w:eastAsia="黑体" w:cs="黑体"/>
          <w:sz w:val="32"/>
          <w:szCs w:val="32"/>
          <w:highlight w:val="none"/>
        </w:rPr>
        <w:t>公开时间：</w:t>
      </w:r>
      <w:r>
        <w:rPr>
          <w:rFonts w:ascii="黑体" w:hAnsi="黑体" w:eastAsia="黑体" w:cs="黑体"/>
          <w:sz w:val="32"/>
          <w:szCs w:val="32"/>
          <w:highlight w:val="none"/>
          <w:u w:val="single"/>
        </w:rPr>
        <w:t xml:space="preserve"> </w:t>
      </w:r>
      <w:r>
        <w:rPr>
          <w:rFonts w:hint="eastAsia" w:ascii="黑体" w:hAnsi="黑体" w:eastAsia="黑体" w:cs="黑体"/>
          <w:sz w:val="32"/>
          <w:szCs w:val="32"/>
          <w:highlight w:val="none"/>
          <w:u w:val="single"/>
          <w:lang w:val="en-US" w:eastAsia="zh-CN"/>
        </w:rPr>
        <w:t xml:space="preserve"> 2026</w:t>
      </w:r>
      <w:r>
        <w:rPr>
          <w:rFonts w:ascii="黑体" w:hAnsi="黑体" w:eastAsia="黑体" w:cs="黑体"/>
          <w:sz w:val="32"/>
          <w:szCs w:val="32"/>
          <w:highlight w:val="none"/>
          <w:u w:val="single"/>
        </w:rPr>
        <w:t xml:space="preserve"> 年 </w:t>
      </w:r>
      <w:r>
        <w:rPr>
          <w:rFonts w:hint="eastAsia" w:ascii="黑体" w:hAnsi="黑体" w:eastAsia="黑体" w:cs="黑体"/>
          <w:sz w:val="32"/>
          <w:szCs w:val="32"/>
          <w:highlight w:val="none"/>
          <w:u w:val="single"/>
          <w:lang w:val="en-US" w:eastAsia="zh-CN"/>
        </w:rPr>
        <w:t>3</w:t>
      </w:r>
      <w:r>
        <w:rPr>
          <w:rFonts w:ascii="黑体" w:hAnsi="黑体" w:eastAsia="黑体" w:cs="黑体"/>
          <w:sz w:val="32"/>
          <w:szCs w:val="32"/>
          <w:highlight w:val="none"/>
          <w:u w:val="single"/>
        </w:rPr>
        <w:t xml:space="preserve"> 月 </w:t>
      </w:r>
      <w:r>
        <w:rPr>
          <w:rFonts w:hint="eastAsia" w:ascii="黑体" w:hAnsi="黑体" w:eastAsia="黑体" w:cs="黑体"/>
          <w:sz w:val="32"/>
          <w:szCs w:val="32"/>
          <w:highlight w:val="none"/>
          <w:u w:val="single"/>
          <w:lang w:val="en-US" w:eastAsia="zh-CN"/>
        </w:rPr>
        <w:t>12</w:t>
      </w:r>
      <w:r>
        <w:rPr>
          <w:rFonts w:ascii="黑体" w:hAnsi="黑体" w:eastAsia="黑体" w:cs="黑体"/>
          <w:sz w:val="32"/>
          <w:szCs w:val="32"/>
          <w:highlight w:val="none"/>
          <w:u w:val="single"/>
        </w:rPr>
        <w:t xml:space="preserve"> 日</w:t>
      </w:r>
    </w:p>
    <w:p>
      <w:pPr>
        <w:adjustRightInd w:val="0"/>
        <w:snapToGrid w:val="0"/>
        <w:spacing w:line="600" w:lineRule="exact"/>
        <w:ind w:firstLine="640"/>
        <w:rPr>
          <w:rFonts w:ascii="Times New Roman" w:hAnsi="Times New Roman" w:eastAsia="仿宋_GB2312"/>
          <w:sz w:val="32"/>
          <w:szCs w:val="32"/>
          <w:highlight w:val="none"/>
        </w:rPr>
      </w:pPr>
    </w:p>
    <w:p>
      <w:pPr>
        <w:pageBreakBefore/>
        <w:tabs>
          <w:tab w:val="left" w:pos="4533"/>
        </w:tabs>
        <w:adjustRightInd w:val="0"/>
        <w:snapToGrid w:val="0"/>
        <w:spacing w:line="600" w:lineRule="exact"/>
        <w:jc w:val="center"/>
        <w:rPr>
          <w:sz w:val="44"/>
          <w:szCs w:val="44"/>
          <w:highlight w:val="none"/>
        </w:rPr>
      </w:pPr>
      <w:r>
        <w:rPr>
          <w:sz w:val="44"/>
          <w:szCs w:val="44"/>
          <w:highlight w:val="none"/>
        </w:rPr>
        <w:t>目</w:t>
      </w:r>
      <w:r>
        <w:rPr>
          <w:rFonts w:hint="eastAsia" w:eastAsia="宋体"/>
          <w:sz w:val="44"/>
          <w:szCs w:val="44"/>
          <w:highlight w:val="none"/>
        </w:rPr>
        <w:t xml:space="preserve">  </w:t>
      </w:r>
      <w:r>
        <w:rPr>
          <w:rFonts w:hint="eastAsia"/>
          <w:sz w:val="44"/>
          <w:szCs w:val="44"/>
          <w:highlight w:val="none"/>
        </w:rPr>
        <w:t xml:space="preserve">  </w:t>
      </w:r>
      <w:r>
        <w:rPr>
          <w:sz w:val="44"/>
          <w:szCs w:val="44"/>
          <w:highlight w:val="none"/>
        </w:rPr>
        <w:t>录</w:t>
      </w:r>
    </w:p>
    <w:p>
      <w:pPr>
        <w:rPr>
          <w:highlight w:val="none"/>
        </w:rPr>
      </w:pPr>
    </w:p>
    <w:p>
      <w:pPr>
        <w:pStyle w:val="10"/>
        <w:spacing w:after="0" w:line="600" w:lineRule="exact"/>
        <w:rPr>
          <w:rFonts w:ascii="黑体" w:hAnsi="黑体" w:eastAsia="黑体" w:cs="黑体"/>
          <w:sz w:val="32"/>
          <w:szCs w:val="32"/>
          <w:highlight w:val="none"/>
        </w:rPr>
      </w:pPr>
      <w:r>
        <w:rPr>
          <w:rFonts w:hint="eastAsia" w:ascii="黑体" w:hAnsi="黑体" w:eastAsia="黑体" w:cs="黑体"/>
          <w:sz w:val="32"/>
          <w:szCs w:val="32"/>
          <w:highlight w:val="none"/>
        </w:rPr>
        <w:t>第一部分 单位概况</w:t>
      </w:r>
    </w:p>
    <w:p>
      <w:pPr>
        <w:pStyle w:val="10"/>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w w:val="95"/>
          <w:sz w:val="32"/>
          <w:szCs w:val="32"/>
          <w:highlight w:val="none"/>
        </w:rPr>
        <w:t>一、主要职能、职责</w:t>
      </w:r>
    </w:p>
    <w:p>
      <w:pPr>
        <w:pStyle w:val="10"/>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二、单位机构设置及预算单位构成情况</w:t>
      </w:r>
    </w:p>
    <w:p>
      <w:pPr>
        <w:pStyle w:val="10"/>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三、</w:t>
      </w:r>
      <w:r>
        <w:rPr>
          <w:rFonts w:hint="eastAsia" w:ascii="仿宋_GB2312" w:hAnsi="仿宋_GB2312" w:eastAsia="仿宋_GB2312" w:cs="仿宋"/>
          <w:sz w:val="32"/>
          <w:szCs w:val="32"/>
          <w:highlight w:val="none"/>
          <w:lang w:val="en-US" w:eastAsia="zh-CN"/>
        </w:rPr>
        <w:t>2026</w:t>
      </w:r>
      <w:r>
        <w:rPr>
          <w:rFonts w:hint="eastAsia" w:ascii="Times New Roman" w:hAnsi="Times New Roman" w:eastAsia="仿宋_GB2312" w:cs="仿宋"/>
          <w:sz w:val="32"/>
          <w:szCs w:val="32"/>
          <w:highlight w:val="none"/>
        </w:rPr>
        <w:t>年度单位主要工作任务及目标</w:t>
      </w:r>
    </w:p>
    <w:p>
      <w:pPr>
        <w:pStyle w:val="10"/>
        <w:spacing w:after="0" w:line="600" w:lineRule="exact"/>
        <w:rPr>
          <w:rFonts w:ascii="黑体" w:hAnsi="黑体" w:eastAsia="黑体" w:cs="黑体"/>
          <w:sz w:val="32"/>
          <w:szCs w:val="32"/>
          <w:highlight w:val="none"/>
        </w:rPr>
      </w:pPr>
      <w:r>
        <w:rPr>
          <w:rFonts w:hint="eastAsia" w:ascii="黑体" w:hAnsi="黑体" w:eastAsia="黑体" w:cs="黑体"/>
          <w:sz w:val="32"/>
          <w:szCs w:val="32"/>
          <w:highlight w:val="none"/>
        </w:rPr>
        <w:t xml:space="preserve">第二部分 </w:t>
      </w:r>
      <w:r>
        <w:rPr>
          <w:rFonts w:hint="eastAsia" w:ascii="黑体" w:hAnsi="黑体" w:eastAsia="黑体" w:cs="黑体"/>
          <w:sz w:val="32"/>
          <w:szCs w:val="32"/>
          <w:highlight w:val="none"/>
          <w:lang w:val="en-US" w:eastAsia="zh-CN"/>
        </w:rPr>
        <w:t>2026</w:t>
      </w:r>
      <w:r>
        <w:rPr>
          <w:rFonts w:hint="eastAsia" w:ascii="黑体" w:hAnsi="黑体" w:eastAsia="黑体" w:cs="黑体"/>
          <w:sz w:val="32"/>
          <w:szCs w:val="32"/>
          <w:highlight w:val="none"/>
        </w:rPr>
        <w:t>年度单位预算情况说明</w:t>
      </w:r>
    </w:p>
    <w:p>
      <w:pPr>
        <w:pStyle w:val="10"/>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一、收支预算总体情况说明</w:t>
      </w:r>
    </w:p>
    <w:p>
      <w:pPr>
        <w:pStyle w:val="10"/>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二、收入预算情况说明</w:t>
      </w:r>
    </w:p>
    <w:p>
      <w:pPr>
        <w:pStyle w:val="10"/>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三、支出预算情况说明</w:t>
      </w:r>
    </w:p>
    <w:p>
      <w:pPr>
        <w:pStyle w:val="10"/>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四、财政拨款收支预算总体情况说明</w:t>
      </w:r>
    </w:p>
    <w:p>
      <w:pPr>
        <w:pStyle w:val="10"/>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五、一般公共预算支出预算情况说明</w:t>
      </w:r>
    </w:p>
    <w:p>
      <w:pPr>
        <w:pStyle w:val="10"/>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六、一般公共预算基本支出预算情况说明</w:t>
      </w:r>
    </w:p>
    <w:p>
      <w:pPr>
        <w:pStyle w:val="10"/>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七、一般公共预算“三公”经费支出预算情况说明</w:t>
      </w:r>
    </w:p>
    <w:p>
      <w:pPr>
        <w:pStyle w:val="10"/>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八、政府性基金预算支出预算情况说明</w:t>
      </w:r>
    </w:p>
    <w:p>
      <w:pPr>
        <w:pStyle w:val="10"/>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九、国有资本经营预算支出预算情况说明</w:t>
      </w:r>
    </w:p>
    <w:p>
      <w:pPr>
        <w:pStyle w:val="10"/>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十、项目支出预算情况说明</w:t>
      </w:r>
    </w:p>
    <w:p>
      <w:pPr>
        <w:pStyle w:val="10"/>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十一、</w:t>
      </w:r>
      <w:r>
        <w:rPr>
          <w:rFonts w:hint="eastAsia" w:ascii="Times New Roman" w:hAnsi="Times New Roman" w:eastAsia="仿宋_GB2312" w:cs="仿宋"/>
          <w:sz w:val="32"/>
          <w:szCs w:val="32"/>
          <w:highlight w:val="none"/>
          <w:lang w:val="en-US" w:eastAsia="zh-CN"/>
        </w:rPr>
        <w:t>机构</w:t>
      </w:r>
      <w:r>
        <w:rPr>
          <w:rFonts w:hint="eastAsia" w:ascii="Times New Roman" w:hAnsi="Times New Roman" w:eastAsia="仿宋_GB2312" w:cs="仿宋"/>
          <w:sz w:val="32"/>
          <w:szCs w:val="32"/>
          <w:highlight w:val="none"/>
        </w:rPr>
        <w:t>运行经费支出预算情况说明</w:t>
      </w:r>
    </w:p>
    <w:p>
      <w:pPr>
        <w:pStyle w:val="10"/>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十二、政府采购支出预算情况说明</w:t>
      </w:r>
    </w:p>
    <w:p>
      <w:pPr>
        <w:pStyle w:val="10"/>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十三、国有资产占用情况说明</w:t>
      </w:r>
    </w:p>
    <w:p>
      <w:pPr>
        <w:widowControl/>
        <w:spacing w:line="600" w:lineRule="exact"/>
        <w:jc w:val="lef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 xml:space="preserve">十四、项目绩效目标情况说明 </w:t>
      </w:r>
    </w:p>
    <w:p>
      <w:pPr>
        <w:pStyle w:val="10"/>
        <w:spacing w:after="0" w:line="600" w:lineRule="exact"/>
        <w:rPr>
          <w:rFonts w:ascii="黑体" w:hAnsi="黑体" w:eastAsia="黑体" w:cs="黑体"/>
          <w:sz w:val="32"/>
          <w:szCs w:val="32"/>
          <w:highlight w:val="none"/>
        </w:rPr>
      </w:pPr>
      <w:r>
        <w:rPr>
          <w:rFonts w:hint="eastAsia" w:ascii="黑体" w:hAnsi="黑体" w:eastAsia="黑体" w:cs="黑体"/>
          <w:sz w:val="32"/>
          <w:szCs w:val="32"/>
          <w:highlight w:val="none"/>
        </w:rPr>
        <w:t>第三部分 名词解释</w:t>
      </w:r>
    </w:p>
    <w:p>
      <w:pPr>
        <w:pStyle w:val="10"/>
        <w:spacing w:after="0" w:line="600" w:lineRule="exact"/>
        <w:rPr>
          <w:rFonts w:ascii="黑体" w:hAnsi="黑体" w:eastAsia="黑体" w:cs="黑体"/>
          <w:sz w:val="32"/>
          <w:szCs w:val="32"/>
          <w:highlight w:val="none"/>
        </w:rPr>
      </w:pPr>
      <w:r>
        <w:rPr>
          <w:rFonts w:hint="eastAsia" w:ascii="黑体" w:hAnsi="黑体" w:eastAsia="黑体" w:cs="黑体"/>
          <w:sz w:val="32"/>
          <w:szCs w:val="32"/>
          <w:highlight w:val="none"/>
        </w:rPr>
        <w:t>第四部分 预算公开联系方式及信息反馈渠道</w:t>
      </w:r>
    </w:p>
    <w:p>
      <w:pPr>
        <w:pStyle w:val="10"/>
        <w:spacing w:after="0" w:line="600" w:lineRule="exact"/>
        <w:rPr>
          <w:rFonts w:ascii="黑体" w:hAnsi="黑体" w:eastAsia="黑体" w:cs="黑体"/>
          <w:sz w:val="32"/>
          <w:szCs w:val="32"/>
          <w:highlight w:val="none"/>
        </w:rPr>
      </w:pPr>
      <w:r>
        <w:rPr>
          <w:rFonts w:hint="eastAsia" w:ascii="黑体" w:hAnsi="黑体" w:eastAsia="黑体" w:cs="黑体"/>
          <w:sz w:val="32"/>
          <w:szCs w:val="32"/>
          <w:highlight w:val="none"/>
        </w:rPr>
        <w:t xml:space="preserve">第五部分 </w:t>
      </w:r>
      <w:r>
        <w:rPr>
          <w:rFonts w:hint="eastAsia" w:ascii="黑体" w:hAnsi="黑体" w:eastAsia="黑体" w:cs="黑体"/>
          <w:sz w:val="32"/>
          <w:szCs w:val="32"/>
          <w:highlight w:val="none"/>
          <w:lang w:val="en-US" w:eastAsia="zh-CN"/>
        </w:rPr>
        <w:t>2026</w:t>
      </w:r>
      <w:r>
        <w:rPr>
          <w:rFonts w:hint="eastAsia" w:ascii="黑体" w:hAnsi="黑体" w:eastAsia="黑体" w:cs="黑体"/>
          <w:sz w:val="32"/>
          <w:szCs w:val="32"/>
          <w:highlight w:val="none"/>
        </w:rPr>
        <w:t>年度单位预算表</w:t>
      </w:r>
    </w:p>
    <w:p>
      <w:pPr>
        <w:pStyle w:val="10"/>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一、收支总表</w:t>
      </w:r>
    </w:p>
    <w:p>
      <w:pPr>
        <w:pStyle w:val="10"/>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二、收入总表</w:t>
      </w:r>
    </w:p>
    <w:p>
      <w:pPr>
        <w:pStyle w:val="10"/>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w w:val="95"/>
          <w:sz w:val="32"/>
          <w:szCs w:val="32"/>
          <w:highlight w:val="none"/>
        </w:rPr>
        <w:t>三、支出总表</w:t>
      </w:r>
    </w:p>
    <w:p>
      <w:pPr>
        <w:pStyle w:val="10"/>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w w:val="95"/>
          <w:sz w:val="32"/>
          <w:szCs w:val="32"/>
          <w:highlight w:val="none"/>
        </w:rPr>
        <w:t>四、财政拨款收支总表</w:t>
      </w:r>
    </w:p>
    <w:p>
      <w:pPr>
        <w:pStyle w:val="10"/>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w w:val="95"/>
          <w:sz w:val="32"/>
          <w:szCs w:val="32"/>
          <w:highlight w:val="none"/>
        </w:rPr>
        <w:t>五、一般公共预算支出表</w:t>
      </w:r>
    </w:p>
    <w:p>
      <w:pPr>
        <w:pStyle w:val="10"/>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w w:val="95"/>
          <w:sz w:val="32"/>
          <w:szCs w:val="32"/>
          <w:highlight w:val="none"/>
        </w:rPr>
        <w:t>六、一般公共预算基本支出表</w:t>
      </w:r>
    </w:p>
    <w:p>
      <w:pPr>
        <w:pStyle w:val="10"/>
        <w:spacing w:after="0" w:line="600" w:lineRule="exact"/>
        <w:rPr>
          <w:rFonts w:ascii="Times New Roman" w:hAnsi="Times New Roman" w:eastAsia="仿宋_GB2312" w:cs="仿宋"/>
          <w:spacing w:val="-16"/>
          <w:w w:val="95"/>
          <w:sz w:val="32"/>
          <w:szCs w:val="32"/>
          <w:highlight w:val="none"/>
        </w:rPr>
      </w:pPr>
      <w:r>
        <w:rPr>
          <w:rFonts w:hint="eastAsia" w:ascii="Times New Roman" w:hAnsi="Times New Roman" w:eastAsia="仿宋_GB2312" w:cs="仿宋"/>
          <w:spacing w:val="-17"/>
          <w:w w:val="95"/>
          <w:sz w:val="32"/>
          <w:szCs w:val="32"/>
          <w:highlight w:val="none"/>
        </w:rPr>
        <w:t>七、一般公共预算</w:t>
      </w:r>
      <w:r>
        <w:rPr>
          <w:rFonts w:hint="eastAsia" w:ascii="Times New Roman" w:hAnsi="Times New Roman" w:eastAsia="仿宋_GB2312" w:cs="仿宋"/>
          <w:spacing w:val="-8"/>
          <w:w w:val="95"/>
          <w:sz w:val="32"/>
          <w:szCs w:val="32"/>
          <w:highlight w:val="none"/>
        </w:rPr>
        <w:t>“</w:t>
      </w:r>
      <w:r>
        <w:rPr>
          <w:rFonts w:hint="eastAsia" w:ascii="Times New Roman" w:hAnsi="Times New Roman" w:eastAsia="仿宋_GB2312" w:cs="仿宋"/>
          <w:spacing w:val="-15"/>
          <w:w w:val="95"/>
          <w:sz w:val="32"/>
          <w:szCs w:val="32"/>
          <w:highlight w:val="none"/>
        </w:rPr>
        <w:t>三公</w:t>
      </w:r>
      <w:r>
        <w:rPr>
          <w:rFonts w:hint="eastAsia" w:ascii="Times New Roman" w:hAnsi="Times New Roman" w:eastAsia="仿宋_GB2312" w:cs="仿宋"/>
          <w:spacing w:val="-10"/>
          <w:w w:val="95"/>
          <w:sz w:val="32"/>
          <w:szCs w:val="32"/>
          <w:highlight w:val="none"/>
        </w:rPr>
        <w:t>”</w:t>
      </w:r>
      <w:r>
        <w:rPr>
          <w:rFonts w:hint="eastAsia" w:ascii="Times New Roman" w:hAnsi="Times New Roman" w:eastAsia="仿宋_GB2312" w:cs="仿宋"/>
          <w:spacing w:val="-16"/>
          <w:w w:val="95"/>
          <w:sz w:val="32"/>
          <w:szCs w:val="32"/>
          <w:highlight w:val="none"/>
        </w:rPr>
        <w:t>经费支出表</w:t>
      </w:r>
    </w:p>
    <w:p>
      <w:pPr>
        <w:pStyle w:val="10"/>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pacing w:val="-16"/>
          <w:w w:val="95"/>
          <w:sz w:val="32"/>
          <w:szCs w:val="32"/>
          <w:highlight w:val="none"/>
        </w:rPr>
        <w:t>八、政府性基金预算支出表</w:t>
      </w:r>
    </w:p>
    <w:p>
      <w:pPr>
        <w:pStyle w:val="10"/>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九、国有资本经营预算支出表</w:t>
      </w:r>
    </w:p>
    <w:p>
      <w:pPr>
        <w:pStyle w:val="10"/>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十、项目支出表</w:t>
      </w:r>
    </w:p>
    <w:p>
      <w:pPr>
        <w:pStyle w:val="10"/>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十一、项目绩效目标表</w:t>
      </w:r>
    </w:p>
    <w:p>
      <w:pPr>
        <w:pStyle w:val="10"/>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w w:val="95"/>
          <w:sz w:val="32"/>
          <w:szCs w:val="32"/>
          <w:highlight w:val="none"/>
        </w:rPr>
        <w:t>十二、政府采购预算表</w:t>
      </w:r>
    </w:p>
    <w:p>
      <w:pPr>
        <w:pStyle w:val="2"/>
        <w:rPr>
          <w:rFonts w:hint="default"/>
          <w:highlight w:val="none"/>
        </w:rPr>
      </w:pPr>
    </w:p>
    <w:p>
      <w:pPr>
        <w:pStyle w:val="2"/>
        <w:rPr>
          <w:rFonts w:hint="default"/>
          <w:highlight w:val="none"/>
        </w:rPr>
        <w:sectPr>
          <w:headerReference r:id="rId3" w:type="default"/>
          <w:footerReference r:id="rId4" w:type="default"/>
          <w:pgSz w:w="11910" w:h="16840"/>
          <w:pgMar w:top="1582" w:right="1680" w:bottom="278" w:left="1640" w:header="720" w:footer="720" w:gutter="0"/>
          <w:pgNumType w:fmt="numberInDash"/>
          <w:cols w:space="0" w:num="1"/>
        </w:sectPr>
      </w:pPr>
    </w:p>
    <w:p>
      <w:pPr>
        <w:pStyle w:val="5"/>
        <w:tabs>
          <w:tab w:val="left" w:pos="4392"/>
        </w:tabs>
        <w:adjustRightInd/>
        <w:snapToGrid/>
        <w:spacing w:before="0" w:after="0" w:line="600" w:lineRule="exact"/>
        <w:ind w:firstLine="0" w:firstLineChars="0"/>
        <w:jc w:val="center"/>
        <w:rPr>
          <w:rFonts w:ascii="方正小标宋简体" w:hAnsi="方正小标宋简体" w:eastAsia="方正小标宋简体" w:cs="方正小标宋简体"/>
          <w:b w:val="0"/>
          <w:bCs w:val="0"/>
          <w:sz w:val="36"/>
          <w:szCs w:val="36"/>
          <w:highlight w:val="none"/>
        </w:rPr>
      </w:pPr>
      <w:bookmarkStart w:id="0" w:name="_Toc30742"/>
      <w:r>
        <w:rPr>
          <w:rFonts w:hint="eastAsia" w:ascii="方正小标宋简体" w:hAnsi="方正小标宋简体" w:eastAsia="方正小标宋简体" w:cs="方正小标宋简体"/>
          <w:b w:val="0"/>
          <w:bCs w:val="0"/>
          <w:sz w:val="36"/>
          <w:szCs w:val="36"/>
          <w:highlight w:val="none"/>
        </w:rPr>
        <w:t>第一部分  单位概况</w:t>
      </w:r>
      <w:bookmarkEnd w:id="0"/>
    </w:p>
    <w:p>
      <w:pPr>
        <w:spacing w:line="600" w:lineRule="exact"/>
        <w:rPr>
          <w:rFonts w:ascii="方正小标宋简体" w:hAnsi="方正小标宋简体" w:eastAsia="方正小标宋简体" w:cs="方正小标宋简体"/>
          <w:sz w:val="36"/>
          <w:szCs w:val="36"/>
          <w:highlight w:val="none"/>
        </w:rPr>
      </w:pPr>
    </w:p>
    <w:p>
      <w:pPr>
        <w:numPr>
          <w:ilvl w:val="0"/>
          <w:numId w:val="1"/>
        </w:numPr>
        <w:spacing w:line="600" w:lineRule="exact"/>
        <w:ind w:left="17" w:leftChars="8" w:firstLine="624" w:firstLineChars="195"/>
        <w:outlineLvl w:val="2"/>
        <w:rPr>
          <w:rFonts w:eastAsia="黑体" w:cs="黑体"/>
          <w:sz w:val="32"/>
          <w:szCs w:val="36"/>
          <w:highlight w:val="none"/>
        </w:rPr>
      </w:pPr>
      <w:r>
        <w:rPr>
          <w:rFonts w:hint="eastAsia" w:eastAsia="黑体" w:cs="黑体"/>
          <w:sz w:val="32"/>
          <w:szCs w:val="36"/>
          <w:highlight w:val="none"/>
        </w:rPr>
        <w:t>主要职能职责</w:t>
      </w:r>
    </w:p>
    <w:p>
      <w:pPr>
        <w:widowControl w:val="0"/>
        <w:kinsoku/>
        <w:autoSpaceDE/>
        <w:autoSpaceDN/>
        <w:adjustRightInd/>
        <w:snapToGrid/>
        <w:spacing w:line="600" w:lineRule="exact"/>
        <w:ind w:firstLine="640" w:firstLineChars="200"/>
        <w:jc w:val="both"/>
        <w:textAlignment w:val="auto"/>
        <w:rPr>
          <w:rFonts w:hint="eastAsia" w:ascii="Times New Roman" w:hAnsi="Times New Roman" w:eastAsia="仿宋_GB2312" w:cstheme="minorBidi"/>
          <w:snapToGrid/>
          <w:kern w:val="2"/>
          <w:sz w:val="32"/>
          <w:szCs w:val="32"/>
          <w:highlight w:val="none"/>
          <w:lang w:val="en-US" w:eastAsia="zh-CN"/>
        </w:rPr>
      </w:pPr>
      <w:r>
        <w:rPr>
          <w:rFonts w:hint="eastAsia" w:ascii="Times New Roman" w:hAnsi="Times New Roman" w:eastAsia="仿宋_GB2312" w:cstheme="minorBidi"/>
          <w:snapToGrid/>
          <w:kern w:val="2"/>
          <w:sz w:val="32"/>
          <w:szCs w:val="32"/>
          <w:highlight w:val="none"/>
          <w:lang w:val="en-US" w:eastAsia="zh-CN"/>
        </w:rPr>
        <w:t>内蒙古自治区卫生</w:t>
      </w:r>
      <w:r>
        <w:rPr>
          <w:rFonts w:hint="default" w:ascii="Times New Roman" w:hAnsi="Times New Roman" w:eastAsia="仿宋_GB2312" w:cstheme="minorBidi"/>
          <w:snapToGrid/>
          <w:kern w:val="2"/>
          <w:sz w:val="32"/>
          <w:szCs w:val="32"/>
          <w:highlight w:val="none"/>
          <w:lang w:val="en-US" w:eastAsia="zh-CN"/>
        </w:rPr>
        <w:t>健康委员会综合保障</w:t>
      </w:r>
      <w:r>
        <w:rPr>
          <w:rFonts w:hint="eastAsia" w:ascii="Times New Roman" w:hAnsi="Times New Roman" w:eastAsia="仿宋_GB2312" w:cstheme="minorBidi"/>
          <w:snapToGrid/>
          <w:kern w:val="2"/>
          <w:sz w:val="32"/>
          <w:szCs w:val="32"/>
          <w:highlight w:val="none"/>
          <w:lang w:val="en-US" w:eastAsia="zh-CN"/>
        </w:rPr>
        <w:t>中心被核准为正处级公益一类事业单位。</w:t>
      </w:r>
    </w:p>
    <w:p>
      <w:pPr>
        <w:widowControl w:val="0"/>
        <w:kinsoku/>
        <w:autoSpaceDE/>
        <w:autoSpaceDN/>
        <w:adjustRightInd/>
        <w:snapToGrid/>
        <w:spacing w:line="600" w:lineRule="exact"/>
        <w:ind w:firstLine="640" w:firstLineChars="200"/>
        <w:jc w:val="both"/>
        <w:textAlignment w:val="auto"/>
        <w:rPr>
          <w:rFonts w:eastAsia="仿宋_GB2312" w:cstheme="minorBidi"/>
          <w:sz w:val="32"/>
          <w:szCs w:val="32"/>
          <w:highlight w:val="none"/>
        </w:rPr>
      </w:pPr>
      <w:r>
        <w:rPr>
          <w:rFonts w:hint="eastAsia" w:ascii="Times New Roman" w:hAnsi="Times New Roman" w:eastAsia="仿宋_GB2312" w:cstheme="minorBidi"/>
          <w:snapToGrid/>
          <w:kern w:val="2"/>
          <w:sz w:val="32"/>
          <w:szCs w:val="32"/>
          <w:highlight w:val="none"/>
          <w:lang w:val="en-US" w:eastAsia="zh-CN"/>
        </w:rPr>
        <w:t>主要工作任务是</w:t>
      </w:r>
      <w:r>
        <w:rPr>
          <w:rFonts w:hint="eastAsia" w:eastAsia="仿宋_GB2312" w:cstheme="minorBidi"/>
          <w:snapToGrid/>
          <w:kern w:val="2"/>
          <w:sz w:val="32"/>
          <w:szCs w:val="32"/>
          <w:highlight w:val="none"/>
          <w:lang w:val="en-US" w:eastAsia="zh-CN"/>
        </w:rPr>
        <w:t>贯彻落实党中央和自治区党委关于卫生健康工作的方针政策和决策部署；在履行职责过程中坚持和加强党对卫生健康工作的集中统一领导；将铸牢中华民族共同体意识贯彻到职责履行卫生健康工作的各方面和全过程；</w:t>
      </w:r>
      <w:r>
        <w:rPr>
          <w:rFonts w:hint="eastAsia" w:ascii="Times New Roman" w:hAnsi="Times New Roman" w:eastAsia="仿宋_GB2312" w:cstheme="minorBidi"/>
          <w:snapToGrid/>
          <w:kern w:val="2"/>
          <w:sz w:val="32"/>
          <w:szCs w:val="32"/>
          <w:highlight w:val="none"/>
          <w:lang w:val="en-US" w:eastAsia="zh-CN"/>
        </w:rPr>
        <w:t>承担机关后勤保障服务工作；承担安全保卫、国有资产管理、公共机构节能、公务接待、机要交换、信访接待、政务公开、档案管理等事务性工作；承担全区卫生健康统计、相关数据监测等辅助性工作并进行分析；承担全区卫生服务调查等专项工作；承担卫生健康行业信息标准推广应用、软件正版化、办公局域网日常使用和办公自动化技术支持工作；承担医疗卫生援外任务和国际、港澳台交流合作相关任务；承担全区卫生健康系统因公出国（境）组织、培训和初审工作；协调国际紧急医学救援事务性工作；承担自治区卫生健康委员会交办的其他相关工作。</w:t>
      </w:r>
    </w:p>
    <w:p>
      <w:pPr>
        <w:numPr>
          <w:ilvl w:val="0"/>
          <w:numId w:val="1"/>
        </w:numPr>
        <w:spacing w:line="600" w:lineRule="exact"/>
        <w:ind w:left="17" w:leftChars="8" w:firstLine="624" w:firstLineChars="195"/>
        <w:outlineLvl w:val="2"/>
        <w:rPr>
          <w:rFonts w:eastAsia="黑体" w:cs="黑体"/>
          <w:sz w:val="32"/>
          <w:szCs w:val="36"/>
          <w:highlight w:val="none"/>
        </w:rPr>
      </w:pPr>
      <w:r>
        <w:rPr>
          <w:rFonts w:hint="eastAsia" w:eastAsia="黑体" w:cs="黑体"/>
          <w:sz w:val="32"/>
          <w:szCs w:val="36"/>
          <w:highlight w:val="none"/>
        </w:rPr>
        <w:t>单位机构设置及预算单位构成情况</w:t>
      </w:r>
    </w:p>
    <w:p>
      <w:pPr>
        <w:numPr>
          <w:ilvl w:val="0"/>
          <w:numId w:val="0"/>
        </w:numPr>
        <w:spacing w:line="600" w:lineRule="exact"/>
        <w:ind w:firstLine="640" w:firstLineChars="200"/>
        <w:rPr>
          <w:rFonts w:hint="eastAsia" w:ascii="Times New Roman" w:hAnsi="Times New Roman" w:eastAsia="仿宋_GB2312" w:cstheme="minorBidi"/>
          <w:snapToGrid/>
          <w:kern w:val="2"/>
          <w:sz w:val="32"/>
          <w:szCs w:val="32"/>
          <w:highlight w:val="none"/>
          <w:lang w:val="en-US" w:eastAsia="zh-CN"/>
        </w:rPr>
      </w:pPr>
      <w:r>
        <w:rPr>
          <w:rFonts w:hint="eastAsia" w:eastAsia="仿宋_GB2312" w:cstheme="minorBidi"/>
          <w:sz w:val="32"/>
          <w:szCs w:val="32"/>
          <w:highlight w:val="none"/>
          <w:lang w:val="en-US" w:eastAsia="zh-CN"/>
        </w:rPr>
        <w:t>1.</w:t>
      </w:r>
      <w:r>
        <w:rPr>
          <w:rFonts w:hint="eastAsia" w:eastAsia="仿宋_GB2312" w:cstheme="minorBidi"/>
          <w:sz w:val="32"/>
          <w:szCs w:val="32"/>
          <w:highlight w:val="none"/>
        </w:rPr>
        <w:t>根据单位职责分工，</w:t>
      </w:r>
      <w:r>
        <w:rPr>
          <w:rFonts w:hint="eastAsia" w:ascii="Times New Roman" w:hAnsi="Times New Roman" w:eastAsia="仿宋_GB2312" w:cstheme="minorBidi"/>
          <w:snapToGrid/>
          <w:kern w:val="2"/>
          <w:sz w:val="32"/>
          <w:szCs w:val="32"/>
          <w:highlight w:val="none"/>
          <w:lang w:val="en-US" w:eastAsia="zh-CN"/>
        </w:rPr>
        <w:t>本单位内设机构包括</w:t>
      </w:r>
      <w:r>
        <w:rPr>
          <w:rFonts w:hint="eastAsia" w:eastAsia="仿宋_GB2312" w:cstheme="minorBidi"/>
          <w:snapToGrid/>
          <w:kern w:val="2"/>
          <w:sz w:val="32"/>
          <w:szCs w:val="32"/>
          <w:highlight w:val="none"/>
          <w:lang w:val="en-US" w:eastAsia="zh-CN"/>
        </w:rPr>
        <w:t>综合科</w:t>
      </w:r>
      <w:r>
        <w:rPr>
          <w:rFonts w:hint="eastAsia" w:ascii="Times New Roman" w:hAnsi="Times New Roman" w:eastAsia="仿宋_GB2312" w:cstheme="minorBidi"/>
          <w:snapToGrid/>
          <w:kern w:val="2"/>
          <w:sz w:val="32"/>
          <w:szCs w:val="32"/>
          <w:highlight w:val="none"/>
          <w:lang w:val="en-US" w:eastAsia="zh-CN"/>
        </w:rPr>
        <w:t>、</w:t>
      </w:r>
      <w:r>
        <w:rPr>
          <w:rFonts w:hint="eastAsia" w:eastAsia="仿宋_GB2312" w:cstheme="minorBidi"/>
          <w:snapToGrid/>
          <w:kern w:val="2"/>
          <w:sz w:val="32"/>
          <w:szCs w:val="32"/>
          <w:highlight w:val="none"/>
          <w:lang w:val="en-US" w:eastAsia="zh-CN"/>
        </w:rPr>
        <w:t>政务档案</w:t>
      </w:r>
      <w:r>
        <w:rPr>
          <w:rFonts w:hint="eastAsia" w:ascii="Times New Roman" w:hAnsi="Times New Roman" w:eastAsia="仿宋_GB2312" w:cstheme="minorBidi"/>
          <w:snapToGrid/>
          <w:kern w:val="2"/>
          <w:sz w:val="32"/>
          <w:szCs w:val="32"/>
          <w:highlight w:val="none"/>
          <w:lang w:val="en-US" w:eastAsia="zh-CN"/>
        </w:rPr>
        <w:t>科、</w:t>
      </w:r>
      <w:r>
        <w:rPr>
          <w:rFonts w:hint="eastAsia" w:eastAsia="仿宋_GB2312" w:cstheme="minorBidi"/>
          <w:snapToGrid/>
          <w:kern w:val="2"/>
          <w:sz w:val="32"/>
          <w:szCs w:val="32"/>
          <w:highlight w:val="none"/>
          <w:lang w:val="en-US" w:eastAsia="zh-CN"/>
        </w:rPr>
        <w:t>统计调查</w:t>
      </w:r>
      <w:r>
        <w:rPr>
          <w:rFonts w:hint="eastAsia" w:ascii="Times New Roman" w:hAnsi="Times New Roman" w:eastAsia="仿宋_GB2312" w:cstheme="minorBidi"/>
          <w:snapToGrid/>
          <w:kern w:val="2"/>
          <w:sz w:val="32"/>
          <w:szCs w:val="32"/>
          <w:highlight w:val="none"/>
          <w:lang w:val="en-US" w:eastAsia="zh-CN"/>
        </w:rPr>
        <w:t>科、</w:t>
      </w:r>
      <w:r>
        <w:rPr>
          <w:rFonts w:hint="eastAsia" w:eastAsia="仿宋_GB2312" w:cstheme="minorBidi"/>
          <w:snapToGrid/>
          <w:kern w:val="2"/>
          <w:sz w:val="32"/>
          <w:szCs w:val="32"/>
          <w:highlight w:val="none"/>
          <w:lang w:val="en-US" w:eastAsia="zh-CN"/>
        </w:rPr>
        <w:t>信息技术</w:t>
      </w:r>
      <w:r>
        <w:rPr>
          <w:rFonts w:hint="eastAsia" w:ascii="Times New Roman" w:hAnsi="Times New Roman" w:eastAsia="仿宋_GB2312" w:cstheme="minorBidi"/>
          <w:snapToGrid/>
          <w:kern w:val="2"/>
          <w:sz w:val="32"/>
          <w:szCs w:val="32"/>
          <w:highlight w:val="none"/>
          <w:lang w:val="en-US" w:eastAsia="zh-CN"/>
        </w:rPr>
        <w:t>科、对外交流科、</w:t>
      </w:r>
      <w:r>
        <w:rPr>
          <w:rFonts w:hint="eastAsia" w:eastAsia="仿宋_GB2312" w:cstheme="minorBidi"/>
          <w:snapToGrid/>
          <w:kern w:val="2"/>
          <w:sz w:val="32"/>
          <w:szCs w:val="32"/>
          <w:highlight w:val="none"/>
          <w:lang w:val="en-US" w:eastAsia="zh-CN"/>
        </w:rPr>
        <w:t>安全生产</w:t>
      </w:r>
      <w:r>
        <w:rPr>
          <w:rFonts w:hint="eastAsia" w:ascii="Times New Roman" w:hAnsi="Times New Roman" w:eastAsia="仿宋_GB2312" w:cstheme="minorBidi"/>
          <w:snapToGrid/>
          <w:kern w:val="2"/>
          <w:sz w:val="32"/>
          <w:szCs w:val="32"/>
          <w:highlight w:val="none"/>
          <w:lang w:val="en-US" w:eastAsia="zh-CN"/>
        </w:rPr>
        <w:t>科、</w:t>
      </w:r>
      <w:r>
        <w:rPr>
          <w:rFonts w:hint="eastAsia" w:eastAsia="仿宋_GB2312" w:cstheme="minorBidi"/>
          <w:snapToGrid/>
          <w:kern w:val="2"/>
          <w:sz w:val="32"/>
          <w:szCs w:val="32"/>
          <w:highlight w:val="none"/>
          <w:lang w:val="en-US" w:eastAsia="zh-CN"/>
        </w:rPr>
        <w:t>采购</w:t>
      </w:r>
      <w:r>
        <w:rPr>
          <w:rFonts w:hint="eastAsia" w:ascii="Times New Roman" w:hAnsi="Times New Roman" w:eastAsia="仿宋_GB2312" w:cstheme="minorBidi"/>
          <w:snapToGrid/>
          <w:kern w:val="2"/>
          <w:sz w:val="32"/>
          <w:szCs w:val="32"/>
          <w:highlight w:val="none"/>
          <w:lang w:val="en-US" w:eastAsia="zh-CN"/>
        </w:rPr>
        <w:t>科</w:t>
      </w:r>
      <w:r>
        <w:rPr>
          <w:rFonts w:hint="eastAsia" w:eastAsia="仿宋_GB2312" w:cstheme="minorBidi"/>
          <w:snapToGrid/>
          <w:kern w:val="2"/>
          <w:sz w:val="32"/>
          <w:szCs w:val="32"/>
          <w:highlight w:val="none"/>
          <w:lang w:val="en-US" w:eastAsia="zh-CN"/>
        </w:rPr>
        <w:t>、财务科、后勤保障科</w:t>
      </w:r>
      <w:r>
        <w:rPr>
          <w:rFonts w:hint="eastAsia" w:ascii="Times New Roman" w:hAnsi="Times New Roman" w:eastAsia="仿宋_GB2312" w:cstheme="minorBidi"/>
          <w:snapToGrid/>
          <w:kern w:val="2"/>
          <w:sz w:val="32"/>
          <w:szCs w:val="32"/>
          <w:highlight w:val="none"/>
          <w:lang w:val="en-US" w:eastAsia="zh-CN"/>
        </w:rPr>
        <w:t>总计</w:t>
      </w:r>
      <w:r>
        <w:rPr>
          <w:rFonts w:hint="eastAsia" w:eastAsia="仿宋_GB2312" w:cstheme="minorBidi"/>
          <w:snapToGrid/>
          <w:kern w:val="2"/>
          <w:sz w:val="32"/>
          <w:szCs w:val="32"/>
          <w:highlight w:val="none"/>
          <w:lang w:val="en-US" w:eastAsia="zh-CN"/>
        </w:rPr>
        <w:t>9</w:t>
      </w:r>
      <w:r>
        <w:rPr>
          <w:rFonts w:hint="eastAsia" w:ascii="Times New Roman" w:hAnsi="Times New Roman" w:eastAsia="仿宋_GB2312" w:cstheme="minorBidi"/>
          <w:snapToGrid/>
          <w:kern w:val="2"/>
          <w:sz w:val="32"/>
          <w:szCs w:val="32"/>
          <w:highlight w:val="none"/>
          <w:lang w:val="en-US" w:eastAsia="zh-CN"/>
        </w:rPr>
        <w:t>个正科级机构。本单位无下属单位。</w:t>
      </w:r>
    </w:p>
    <w:p>
      <w:pPr>
        <w:numPr>
          <w:ilvl w:val="0"/>
          <w:numId w:val="0"/>
        </w:numPr>
        <w:spacing w:line="600" w:lineRule="exact"/>
        <w:ind w:firstLine="640" w:firstLineChars="200"/>
        <w:rPr>
          <w:rFonts w:ascii="仿宋_GB2312" w:hAnsi="仿宋_GB2312" w:eastAsia="仿宋_GB2312" w:cs="仿宋_GB2312"/>
          <w:b/>
          <w:bCs/>
          <w:sz w:val="32"/>
          <w:szCs w:val="32"/>
          <w:highlight w:val="none"/>
        </w:rPr>
      </w:pPr>
      <w:r>
        <w:rPr>
          <w:rFonts w:hint="eastAsia" w:eastAsia="仿宋_GB2312" w:cstheme="minorBidi"/>
          <w:sz w:val="32"/>
          <w:szCs w:val="32"/>
          <w:highlight w:val="none"/>
        </w:rPr>
        <w:t>2</w:t>
      </w:r>
      <w:r>
        <w:rPr>
          <w:rFonts w:hint="eastAsia" w:eastAsia="仿宋_GB2312" w:cstheme="minorBidi"/>
          <w:sz w:val="32"/>
          <w:szCs w:val="32"/>
          <w:highlight w:val="none"/>
          <w:lang w:val="en-US" w:eastAsia="zh-CN"/>
        </w:rPr>
        <w:t>.</w:t>
      </w:r>
      <w:r>
        <w:rPr>
          <w:rFonts w:hint="eastAsia" w:eastAsia="仿宋_GB2312" w:cstheme="minorBidi"/>
          <w:sz w:val="32"/>
          <w:szCs w:val="32"/>
          <w:highlight w:val="none"/>
        </w:rPr>
        <w:t>从预算单位构成看，纳入</w:t>
      </w:r>
      <w:r>
        <w:rPr>
          <w:rFonts w:hint="eastAsia" w:ascii="仿宋_GB2312" w:hAnsi="仿宋_GB2312" w:eastAsia="仿宋_GB2312" w:cs="仿宋"/>
          <w:sz w:val="32"/>
          <w:szCs w:val="32"/>
          <w:highlight w:val="none"/>
          <w:lang w:val="en-US" w:eastAsia="zh-CN"/>
        </w:rPr>
        <w:t>2026</w:t>
      </w:r>
      <w:r>
        <w:rPr>
          <w:rFonts w:hint="eastAsia" w:eastAsia="仿宋_GB2312" w:cstheme="minorBidi"/>
          <w:sz w:val="32"/>
          <w:szCs w:val="32"/>
          <w:highlight w:val="none"/>
        </w:rPr>
        <w:t>年预算编制范围的预算单位共计</w:t>
      </w:r>
      <w:r>
        <w:rPr>
          <w:rFonts w:hint="eastAsia" w:ascii="仿宋_GB2312" w:hAnsi="仿宋_GB2312" w:eastAsia="仿宋_GB2312" w:cs="仿宋"/>
          <w:sz w:val="32"/>
          <w:szCs w:val="32"/>
          <w:highlight w:val="none"/>
          <w:lang w:val="en-US" w:eastAsia="zh-CN"/>
        </w:rPr>
        <w:t>1</w:t>
      </w:r>
      <w:r>
        <w:rPr>
          <w:rFonts w:hint="eastAsia" w:eastAsia="仿宋_GB2312" w:cstheme="minorBidi"/>
          <w:sz w:val="32"/>
          <w:szCs w:val="32"/>
          <w:highlight w:val="none"/>
        </w:rPr>
        <w:t>家，具体包括：</w:t>
      </w:r>
      <w:r>
        <w:rPr>
          <w:rFonts w:hint="eastAsia" w:ascii="Times New Roman" w:hAnsi="Times New Roman" w:eastAsia="仿宋_GB2312" w:cstheme="minorBidi"/>
          <w:snapToGrid/>
          <w:kern w:val="2"/>
          <w:sz w:val="32"/>
          <w:szCs w:val="32"/>
          <w:highlight w:val="none"/>
          <w:lang w:val="en-US" w:eastAsia="zh-CN"/>
        </w:rPr>
        <w:t>内蒙古自治区卫生</w:t>
      </w:r>
      <w:r>
        <w:rPr>
          <w:rFonts w:hint="default" w:ascii="Times New Roman" w:hAnsi="Times New Roman" w:eastAsia="仿宋_GB2312" w:cstheme="minorBidi"/>
          <w:snapToGrid/>
          <w:kern w:val="2"/>
          <w:sz w:val="32"/>
          <w:szCs w:val="32"/>
          <w:highlight w:val="none"/>
          <w:lang w:val="en-US" w:eastAsia="zh-CN"/>
        </w:rPr>
        <w:t>健康委员会综合保障</w:t>
      </w:r>
      <w:r>
        <w:rPr>
          <w:rFonts w:hint="eastAsia" w:ascii="Times New Roman" w:hAnsi="Times New Roman" w:eastAsia="仿宋_GB2312" w:cstheme="minorBidi"/>
          <w:snapToGrid/>
          <w:kern w:val="2"/>
          <w:sz w:val="32"/>
          <w:szCs w:val="32"/>
          <w:highlight w:val="none"/>
          <w:lang w:val="en-US" w:eastAsia="zh-CN"/>
        </w:rPr>
        <w:t>中心</w:t>
      </w:r>
      <w:r>
        <w:rPr>
          <w:rFonts w:hint="eastAsia" w:eastAsia="仿宋_GB2312" w:cstheme="minorBidi"/>
          <w:sz w:val="32"/>
          <w:szCs w:val="32"/>
          <w:highlight w:val="none"/>
        </w:rPr>
        <w:t>。详细情况见表：</w:t>
      </w:r>
    </w:p>
    <w:tbl>
      <w:tblPr>
        <w:tblStyle w:val="20"/>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1"/>
        <w:gridCol w:w="4500"/>
        <w:gridCol w:w="30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71" w:type="dxa"/>
          </w:tcPr>
          <w:p>
            <w:pPr>
              <w:widowControl/>
              <w:jc w:val="center"/>
              <w:rPr>
                <w:rFonts w:ascii="仿宋" w:hAnsi="仿宋" w:eastAsia="仿宋" w:cs="仿宋"/>
                <w:color w:val="000000"/>
                <w:kern w:val="0"/>
                <w:sz w:val="31"/>
                <w:szCs w:val="31"/>
                <w:highlight w:val="none"/>
                <w:lang w:bidi="ar"/>
              </w:rPr>
            </w:pPr>
            <w:r>
              <w:rPr>
                <w:rFonts w:hint="eastAsia" w:ascii="Times New Roman" w:hAnsi="Times New Roman" w:eastAsia="仿宋_GB2312" w:cs="仿宋"/>
                <w:color w:val="000000"/>
                <w:kern w:val="0"/>
                <w:sz w:val="31"/>
                <w:szCs w:val="31"/>
                <w:highlight w:val="none"/>
                <w:lang w:bidi="ar"/>
              </w:rPr>
              <w:t>序号</w:t>
            </w:r>
          </w:p>
        </w:tc>
        <w:tc>
          <w:tcPr>
            <w:tcW w:w="4500" w:type="dxa"/>
            <w:vAlign w:val="center"/>
          </w:tcPr>
          <w:p>
            <w:pPr>
              <w:widowControl/>
              <w:jc w:val="center"/>
              <w:rPr>
                <w:rFonts w:ascii="仿宋" w:hAnsi="仿宋" w:eastAsia="仿宋" w:cs="仿宋"/>
                <w:color w:val="000000"/>
                <w:kern w:val="0"/>
                <w:sz w:val="31"/>
                <w:szCs w:val="31"/>
                <w:highlight w:val="none"/>
                <w:lang w:bidi="ar"/>
              </w:rPr>
            </w:pPr>
            <w:r>
              <w:rPr>
                <w:rFonts w:hint="eastAsia" w:ascii="Times New Roman" w:hAnsi="Times New Roman" w:eastAsia="仿宋_GB2312" w:cs="仿宋"/>
                <w:color w:val="000000"/>
                <w:kern w:val="0"/>
                <w:sz w:val="31"/>
                <w:szCs w:val="31"/>
                <w:highlight w:val="none"/>
                <w:lang w:bidi="ar"/>
              </w:rPr>
              <w:t>单位名称</w:t>
            </w:r>
          </w:p>
        </w:tc>
        <w:tc>
          <w:tcPr>
            <w:tcW w:w="3051" w:type="dxa"/>
            <w:vAlign w:val="center"/>
          </w:tcPr>
          <w:p>
            <w:pPr>
              <w:widowControl/>
              <w:jc w:val="center"/>
              <w:rPr>
                <w:rFonts w:ascii="仿宋" w:hAnsi="仿宋" w:eastAsia="仿宋" w:cs="仿宋"/>
                <w:color w:val="000000"/>
                <w:kern w:val="0"/>
                <w:sz w:val="31"/>
                <w:szCs w:val="31"/>
                <w:highlight w:val="none"/>
                <w:lang w:bidi="ar"/>
              </w:rPr>
            </w:pPr>
            <w:r>
              <w:rPr>
                <w:rFonts w:hint="eastAsia" w:ascii="Times New Roman" w:hAnsi="Times New Roman" w:eastAsia="仿宋_GB2312" w:cs="仿宋"/>
                <w:color w:val="000000"/>
                <w:kern w:val="0"/>
                <w:sz w:val="31"/>
                <w:szCs w:val="31"/>
                <w:highlight w:val="none"/>
                <w:lang w:bidi="ar"/>
              </w:rPr>
              <w:t>单位性质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971" w:type="dxa"/>
            <w:vAlign w:val="center"/>
          </w:tcPr>
          <w:p>
            <w:pPr>
              <w:widowControl/>
              <w:jc w:val="center"/>
              <w:rPr>
                <w:rFonts w:ascii="仿宋" w:hAnsi="仿宋" w:eastAsia="仿宋" w:cs="仿宋"/>
                <w:color w:val="000000"/>
                <w:kern w:val="0"/>
                <w:sz w:val="31"/>
                <w:szCs w:val="31"/>
                <w:highlight w:val="none"/>
                <w:lang w:bidi="ar"/>
              </w:rPr>
            </w:pPr>
            <w:r>
              <w:rPr>
                <w:rFonts w:hint="eastAsia" w:ascii="Times New Roman" w:hAnsi="Times New Roman" w:eastAsia="仿宋_GB2312" w:cs="仿宋"/>
                <w:color w:val="000000"/>
                <w:kern w:val="0"/>
                <w:sz w:val="31"/>
                <w:szCs w:val="31"/>
                <w:highlight w:val="none"/>
                <w:lang w:bidi="ar"/>
              </w:rPr>
              <w:t>1</w:t>
            </w:r>
          </w:p>
        </w:tc>
        <w:tc>
          <w:tcPr>
            <w:tcW w:w="4500" w:type="dxa"/>
          </w:tcPr>
          <w:p>
            <w:pPr>
              <w:widowControl/>
              <w:jc w:val="center"/>
              <w:rPr>
                <w:rFonts w:hint="eastAsia" w:ascii="仿宋" w:hAnsi="仿宋" w:eastAsia="仿宋" w:cs="仿宋"/>
                <w:color w:val="000000"/>
                <w:kern w:val="0"/>
                <w:sz w:val="31"/>
                <w:szCs w:val="31"/>
                <w:highlight w:val="none"/>
                <w:lang w:eastAsia="zh-CN" w:bidi="ar"/>
              </w:rPr>
            </w:pPr>
            <w:r>
              <w:rPr>
                <w:rFonts w:hint="eastAsia" w:ascii="Times New Roman" w:hAnsi="Times New Roman" w:eastAsia="仿宋_GB2312" w:cstheme="minorBidi"/>
                <w:snapToGrid/>
                <w:kern w:val="2"/>
                <w:sz w:val="32"/>
                <w:szCs w:val="32"/>
                <w:highlight w:val="none"/>
                <w:lang w:val="en-US" w:eastAsia="zh-CN"/>
              </w:rPr>
              <w:t>内蒙古自治区卫生健康委员会综合保障中心</w:t>
            </w:r>
          </w:p>
        </w:tc>
        <w:tc>
          <w:tcPr>
            <w:tcW w:w="3051" w:type="dxa"/>
          </w:tcPr>
          <w:p>
            <w:pPr>
              <w:widowControl/>
              <w:jc w:val="center"/>
              <w:rPr>
                <w:rFonts w:ascii="仿宋" w:hAnsi="仿宋" w:eastAsia="仿宋" w:cs="仿宋"/>
                <w:color w:val="000000"/>
                <w:kern w:val="0"/>
                <w:sz w:val="31"/>
                <w:szCs w:val="31"/>
                <w:highlight w:val="none"/>
                <w:lang w:bidi="ar"/>
              </w:rPr>
            </w:pPr>
            <w:r>
              <w:rPr>
                <w:rFonts w:hint="eastAsia" w:ascii="Times New Roman" w:hAnsi="Times New Roman" w:eastAsia="仿宋_GB2312" w:cs="仿宋"/>
                <w:color w:val="000000"/>
                <w:kern w:val="0"/>
                <w:sz w:val="31"/>
                <w:szCs w:val="31"/>
                <w:highlight w:val="none"/>
                <w:lang w:bidi="ar"/>
              </w:rPr>
              <w:t>公益一类事业单位</w:t>
            </w:r>
          </w:p>
        </w:tc>
      </w:tr>
    </w:tbl>
    <w:p>
      <w:pPr>
        <w:numPr>
          <w:ilvl w:val="0"/>
          <w:numId w:val="1"/>
        </w:numPr>
        <w:spacing w:line="600" w:lineRule="exact"/>
        <w:ind w:left="17" w:leftChars="8" w:firstLine="624" w:firstLineChars="195"/>
        <w:outlineLvl w:val="2"/>
        <w:rPr>
          <w:rFonts w:eastAsia="黑体" w:cs="黑体"/>
          <w:sz w:val="32"/>
          <w:szCs w:val="36"/>
          <w:highlight w:val="none"/>
        </w:rPr>
      </w:pPr>
      <w:r>
        <w:rPr>
          <w:rFonts w:hint="eastAsia" w:ascii="仿宋_GB2312" w:hAnsi="仿宋_GB2312" w:eastAsia="黑体" w:cs="黑体"/>
          <w:sz w:val="32"/>
          <w:szCs w:val="36"/>
          <w:highlight w:val="none"/>
          <w:lang w:val="en-US" w:eastAsia="zh-CN"/>
        </w:rPr>
        <w:t>2026</w:t>
      </w:r>
      <w:r>
        <w:rPr>
          <w:rFonts w:hint="eastAsia" w:eastAsia="黑体" w:cs="黑体"/>
          <w:sz w:val="32"/>
          <w:szCs w:val="36"/>
          <w:highlight w:val="none"/>
        </w:rPr>
        <w:t>年度单位主要工作任务及目标</w:t>
      </w:r>
    </w:p>
    <w:p>
      <w:pPr>
        <w:keepNext w:val="0"/>
        <w:keepLines w:val="0"/>
        <w:pageBreakBefore w:val="0"/>
        <w:widowControl/>
        <w:numPr>
          <w:ilvl w:val="0"/>
          <w:numId w:val="0"/>
        </w:numPr>
        <w:kinsoku/>
        <w:wordWrap/>
        <w:overflowPunct/>
        <w:topLinePunct w:val="0"/>
        <w:autoSpaceDE/>
        <w:autoSpaceDN/>
        <w:bidi w:val="0"/>
        <w:adjustRightInd/>
        <w:snapToGrid w:val="0"/>
        <w:spacing w:line="560" w:lineRule="exact"/>
        <w:ind w:firstLine="640" w:firstLineChars="200"/>
        <w:jc w:val="left"/>
        <w:textAlignment w:val="auto"/>
        <w:rPr>
          <w:rFonts w:hint="default" w:ascii="楷体_GB2312" w:hAnsi="楷体_GB2312" w:eastAsia="楷体_GB2312" w:cs="楷体_GB2312"/>
          <w:bCs/>
          <w:color w:val="000000"/>
          <w:kern w:val="0"/>
          <w:sz w:val="32"/>
          <w:szCs w:val="32"/>
          <w:lang w:val="en-US" w:eastAsia="zh-CN" w:bidi="ar"/>
        </w:rPr>
      </w:pPr>
      <w:bookmarkStart w:id="1" w:name="OLE_LINK3"/>
      <w:bookmarkStart w:id="2" w:name="_Toc21288"/>
      <w:r>
        <w:rPr>
          <w:rFonts w:hint="eastAsia" w:ascii="楷体_GB2312" w:hAnsi="楷体_GB2312" w:eastAsia="楷体_GB2312" w:cs="楷体_GB2312"/>
          <w:bCs/>
          <w:color w:val="000000"/>
          <w:kern w:val="0"/>
          <w:sz w:val="32"/>
          <w:szCs w:val="32"/>
          <w:lang w:val="en-US" w:eastAsia="zh-CN" w:bidi="ar"/>
        </w:rPr>
        <w:t>（一）强化党建引领，在组织建设上再拓新局</w:t>
      </w:r>
    </w:p>
    <w:p>
      <w:pPr>
        <w:keepNext w:val="0"/>
        <w:keepLines w:val="0"/>
        <w:pageBreakBefore w:val="0"/>
        <w:widowControl/>
        <w:numPr>
          <w:ilvl w:val="0"/>
          <w:numId w:val="0"/>
        </w:numPr>
        <w:kinsoku/>
        <w:wordWrap/>
        <w:overflowPunct/>
        <w:topLinePunct w:val="0"/>
        <w:autoSpaceDE/>
        <w:autoSpaceDN/>
        <w:bidi w:val="0"/>
        <w:adjustRightInd/>
        <w:snapToGrid w:val="0"/>
        <w:spacing w:line="560" w:lineRule="exact"/>
        <w:ind w:firstLine="640" w:firstLineChars="200"/>
        <w:jc w:val="left"/>
        <w:textAlignment w:val="auto"/>
        <w:rPr>
          <w:rFonts w:hint="eastAsia" w:ascii="仿宋_GB2312" w:hAnsi="仿宋_GB2312" w:eastAsia="仿宋_GB2312" w:cs="仿宋_GB2312"/>
          <w:bCs/>
          <w:color w:val="000000"/>
          <w:kern w:val="0"/>
          <w:sz w:val="32"/>
          <w:szCs w:val="32"/>
          <w:lang w:val="en-US" w:eastAsia="zh-CN" w:bidi="ar"/>
        </w:rPr>
      </w:pPr>
      <w:r>
        <w:rPr>
          <w:rFonts w:hint="eastAsia" w:ascii="仿宋_GB2312" w:hAnsi="仿宋_GB2312" w:eastAsia="仿宋_GB2312" w:cs="仿宋_GB2312"/>
          <w:bCs/>
          <w:color w:val="000000"/>
          <w:kern w:val="0"/>
          <w:sz w:val="32"/>
          <w:szCs w:val="32"/>
          <w:lang w:val="en-US" w:eastAsia="zh-CN" w:bidi="ar"/>
        </w:rPr>
        <w:t>2026年，中心将以更高标准深化党的建设，着力提升党建工作质量，压紧压实党建责任链条，</w:t>
      </w:r>
      <w:r>
        <w:rPr>
          <w:rFonts w:hint="eastAsia" w:ascii="仿宋_GB2312" w:hAnsi="仿宋_GB2312" w:eastAsia="仿宋_GB2312" w:cs="仿宋_GB2312"/>
          <w:sz w:val="32"/>
          <w:szCs w:val="32"/>
        </w:rPr>
        <w:t>健全党建与业务融合长效机制</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bCs/>
          <w:color w:val="000000"/>
          <w:kern w:val="0"/>
          <w:sz w:val="32"/>
          <w:szCs w:val="32"/>
          <w:lang w:val="en-US" w:eastAsia="zh-CN" w:bidi="ar"/>
        </w:rPr>
        <w:t>建强支部班子，提升履职效能，深化理论武装与学用转化，构建分层分类、需求导向的学习体系，完善个性化培养与激励机制，同时坚持把纪律和规矩挺在前面，严管与厚爱相结合，运用多元监督方式，营造风清气正政治生态。</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bCs/>
          <w:color w:val="000000"/>
          <w:kern w:val="0"/>
          <w:sz w:val="32"/>
          <w:szCs w:val="32"/>
          <w:lang w:val="en-US" w:eastAsia="zh-CN" w:bidi="ar"/>
        </w:rPr>
      </w:pPr>
      <w:r>
        <w:rPr>
          <w:rFonts w:hint="eastAsia" w:ascii="楷体_GB2312" w:hAnsi="楷体_GB2312" w:eastAsia="楷体_GB2312" w:cs="楷体_GB2312"/>
          <w:bCs/>
          <w:color w:val="000000"/>
          <w:kern w:val="0"/>
          <w:sz w:val="32"/>
          <w:szCs w:val="32"/>
          <w:lang w:val="en-US" w:eastAsia="zh-CN" w:bidi="ar"/>
        </w:rPr>
        <w:t>优化后勤保障，在资产盘活上再挖潜力</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Cs/>
          <w:color w:val="000000"/>
          <w:kern w:val="0"/>
          <w:sz w:val="32"/>
          <w:szCs w:val="32"/>
          <w:lang w:val="en-US" w:eastAsia="zh-CN" w:bidi="ar"/>
        </w:rPr>
      </w:pPr>
      <w:r>
        <w:rPr>
          <w:rFonts w:hint="eastAsia" w:ascii="仿宋_GB2312" w:hAnsi="仿宋_GB2312" w:eastAsia="仿宋_GB2312" w:cs="仿宋_GB2312"/>
          <w:color w:val="000000" w:themeColor="text1"/>
          <w:sz w:val="32"/>
          <w:szCs w:val="32"/>
          <w14:textFill>
            <w14:solidFill>
              <w14:schemeClr w14:val="tx1"/>
            </w14:solidFill>
          </w14:textFill>
        </w:rPr>
        <w:t>积极推进</w:t>
      </w:r>
      <w:r>
        <w:rPr>
          <w:rFonts w:hint="eastAsia" w:ascii="仿宋_GB2312" w:hAnsi="仿宋_GB2312" w:eastAsia="仿宋_GB2312" w:cs="仿宋_GB2312"/>
          <w:color w:val="000000" w:themeColor="text1"/>
          <w:sz w:val="32"/>
          <w:szCs w:val="32"/>
          <w:lang w:eastAsia="zh-CN"/>
          <w14:textFill>
            <w14:solidFill>
              <w14:schemeClr w14:val="tx1"/>
            </w14:solidFill>
          </w14:textFill>
        </w:rPr>
        <w:t>重点</w:t>
      </w:r>
      <w:r>
        <w:rPr>
          <w:rFonts w:hint="eastAsia" w:ascii="仿宋_GB2312" w:hAnsi="仿宋_GB2312" w:eastAsia="仿宋_GB2312" w:cs="仿宋_GB2312"/>
          <w:color w:val="000000" w:themeColor="text1"/>
          <w:sz w:val="32"/>
          <w:szCs w:val="32"/>
          <w14:textFill>
            <w14:solidFill>
              <w14:schemeClr w14:val="tx1"/>
            </w14:solidFill>
          </w14:textFill>
        </w:rPr>
        <w:t>维修改造</w:t>
      </w:r>
      <w:r>
        <w:rPr>
          <w:rFonts w:hint="eastAsia" w:ascii="仿宋_GB2312" w:hAnsi="仿宋_GB2312" w:eastAsia="仿宋_GB2312" w:cs="仿宋_GB2312"/>
          <w:color w:val="000000" w:themeColor="text1"/>
          <w:sz w:val="32"/>
          <w:szCs w:val="32"/>
          <w:lang w:eastAsia="zh-CN"/>
          <w14:textFill>
            <w14:solidFill>
              <w14:schemeClr w14:val="tx1"/>
            </w14:solidFill>
          </w14:textFill>
        </w:rPr>
        <w:t>项目实施</w:t>
      </w:r>
      <w:r>
        <w:rPr>
          <w:rFonts w:hint="eastAsia" w:ascii="仿宋_GB2312" w:hAnsi="仿宋_GB2312" w:eastAsia="仿宋_GB2312" w:cs="仿宋_GB2312"/>
          <w:sz w:val="32"/>
          <w:szCs w:val="40"/>
          <w:lang w:eastAsia="zh-CN"/>
        </w:rPr>
        <w:t>，进一步</w:t>
      </w:r>
      <w:r>
        <w:rPr>
          <w:rFonts w:hint="eastAsia" w:ascii="仿宋_GB2312" w:hAnsi="仿宋_GB2312" w:eastAsia="仿宋_GB2312" w:cs="仿宋_GB2312"/>
          <w:sz w:val="32"/>
          <w:szCs w:val="40"/>
        </w:rPr>
        <w:t>优化资产全周期管理</w:t>
      </w:r>
      <w:r>
        <w:rPr>
          <w:rFonts w:hint="eastAsia" w:ascii="仿宋_GB2312" w:hAnsi="仿宋_GB2312" w:eastAsia="仿宋_GB2312" w:cs="仿宋_GB2312"/>
          <w:sz w:val="32"/>
          <w:szCs w:val="40"/>
          <w:lang w:eastAsia="zh-CN"/>
        </w:rPr>
        <w:t>，</w:t>
      </w:r>
      <w:r>
        <w:rPr>
          <w:rFonts w:hint="eastAsia" w:ascii="仿宋_GB2312" w:hAnsi="仿宋_GB2312" w:eastAsia="仿宋_GB2312" w:cs="仿宋_GB2312"/>
          <w:sz w:val="32"/>
          <w:szCs w:val="40"/>
        </w:rPr>
        <w:t>加大闲置资产处置力度，完善跨部门共享机制，拓宽调剂渠道，提升资产利用率</w:t>
      </w:r>
      <w:r>
        <w:rPr>
          <w:rFonts w:hint="eastAsia" w:ascii="仿宋_GB2312" w:hAnsi="仿宋_GB2312" w:eastAsia="仿宋_GB2312" w:cs="仿宋_GB2312"/>
          <w:sz w:val="32"/>
          <w:szCs w:val="40"/>
          <w:lang w:eastAsia="zh-CN"/>
        </w:rPr>
        <w:t>，同时</w:t>
      </w:r>
      <w:r>
        <w:rPr>
          <w:rFonts w:hint="eastAsia" w:ascii="仿宋_GB2312" w:hAnsi="仿宋_GB2312" w:eastAsia="仿宋_GB2312" w:cs="仿宋_GB2312"/>
          <w:sz w:val="32"/>
          <w:szCs w:val="40"/>
        </w:rPr>
        <w:t>加快化解房产历史遗留问题，实现权属清晰全覆盖。</w:t>
      </w:r>
    </w:p>
    <w:p>
      <w:pPr>
        <w:keepNext w:val="0"/>
        <w:keepLines w:val="0"/>
        <w:pageBreakBefore w:val="0"/>
        <w:widowControl/>
        <w:numPr>
          <w:ilvl w:val="0"/>
          <w:numId w:val="3"/>
        </w:numPr>
        <w:kinsoku/>
        <w:wordWrap/>
        <w:overflowPunct/>
        <w:topLinePunct w:val="0"/>
        <w:autoSpaceDE/>
        <w:autoSpaceDN/>
        <w:bidi w:val="0"/>
        <w:adjustRightInd/>
        <w:snapToGrid w:val="0"/>
        <w:spacing w:line="560" w:lineRule="exact"/>
        <w:ind w:firstLine="640" w:firstLineChars="200"/>
        <w:jc w:val="left"/>
        <w:textAlignment w:val="auto"/>
        <w:rPr>
          <w:rFonts w:hint="eastAsia" w:ascii="楷体_GB2312" w:hAnsi="楷体_GB2312" w:eastAsia="楷体_GB2312" w:cs="楷体_GB2312"/>
          <w:bCs/>
          <w:color w:val="000000"/>
          <w:kern w:val="0"/>
          <w:sz w:val="32"/>
          <w:szCs w:val="32"/>
          <w:lang w:val="en-US" w:eastAsia="zh-CN" w:bidi="ar"/>
        </w:rPr>
      </w:pPr>
      <w:bookmarkStart w:id="3" w:name="OLE_LINK1"/>
      <w:r>
        <w:rPr>
          <w:rFonts w:hint="eastAsia" w:ascii="楷体_GB2312" w:hAnsi="楷体_GB2312" w:eastAsia="楷体_GB2312" w:cs="楷体_GB2312"/>
          <w:bCs/>
          <w:color w:val="000000"/>
          <w:kern w:val="0"/>
          <w:sz w:val="32"/>
          <w:szCs w:val="32"/>
          <w:lang w:val="en-US" w:eastAsia="zh-CN" w:bidi="ar"/>
        </w:rPr>
        <w:t>夯实统计基石，在数据质量上再严标准</w:t>
      </w:r>
    </w:p>
    <w:p>
      <w:pPr>
        <w:keepNext w:val="0"/>
        <w:keepLines w:val="0"/>
        <w:pageBreakBefore w:val="0"/>
        <w:widowControl/>
        <w:numPr>
          <w:ilvl w:val="0"/>
          <w:numId w:val="0"/>
        </w:numPr>
        <w:kinsoku/>
        <w:wordWrap/>
        <w:overflowPunct/>
        <w:topLinePunct w:val="0"/>
        <w:autoSpaceDE/>
        <w:autoSpaceDN/>
        <w:bidi w:val="0"/>
        <w:adjustRightInd/>
        <w:snapToGrid w:val="0"/>
        <w:spacing w:line="560" w:lineRule="exact"/>
        <w:ind w:firstLine="640" w:firstLineChars="200"/>
        <w:jc w:val="left"/>
        <w:textAlignment w:val="auto"/>
        <w:rPr>
          <w:rFonts w:hint="default"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为全面提升统计数据工作质效，中心将建立分级催报机制，构建责任清晰、层层落实的催报格局，并通过增设数据溯源核验环节、加密现场核查频次、对数据不一致问题实行限期整改等举措，持续夯实统计数据质量。在此基础上，高标准严要求完成</w:t>
      </w:r>
      <w:r>
        <w:rPr>
          <w:rFonts w:hint="eastAsia" w:ascii="Times New Roman" w:hAnsi="Times New Roman" w:eastAsia="仿宋_GB2312" w:cs="Times New Roman"/>
          <w:sz w:val="32"/>
          <w:szCs w:val="32"/>
          <w:lang w:val="en-US" w:eastAsia="zh-CN"/>
        </w:rPr>
        <w:t>2026</w:t>
      </w:r>
      <w:r>
        <w:rPr>
          <w:rFonts w:hint="eastAsia" w:ascii="仿宋_GB2312" w:hAnsi="仿宋_GB2312" w:eastAsia="仿宋_GB2312" w:cs="仿宋_GB2312"/>
          <w:b w:val="0"/>
          <w:bCs/>
          <w:sz w:val="32"/>
          <w:szCs w:val="32"/>
          <w:lang w:val="en-US" w:eastAsia="zh-CN"/>
        </w:rPr>
        <w:t>年自治区预期寿命测算</w:t>
      </w:r>
      <w:bookmarkEnd w:id="3"/>
      <w:r>
        <w:rPr>
          <w:rFonts w:hint="eastAsia" w:ascii="仿宋_GB2312" w:hAnsi="仿宋_GB2312" w:eastAsia="仿宋_GB2312" w:cs="仿宋_GB2312"/>
          <w:b w:val="0"/>
          <w:bCs/>
          <w:sz w:val="32"/>
          <w:szCs w:val="32"/>
          <w:lang w:val="en-US" w:eastAsia="zh-CN"/>
        </w:rPr>
        <w:t>工作，</w:t>
      </w:r>
      <w:r>
        <w:rPr>
          <w:rFonts w:hint="default" w:ascii="仿宋_GB2312" w:hAnsi="仿宋_GB2312" w:eastAsia="仿宋_GB2312" w:cs="仿宋_GB2312"/>
          <w:b w:val="0"/>
          <w:bCs/>
          <w:sz w:val="32"/>
          <w:szCs w:val="32"/>
          <w:lang w:val="en-US" w:eastAsia="zh-CN"/>
        </w:rPr>
        <w:t>确保测算方法科学</w:t>
      </w:r>
      <w:r>
        <w:rPr>
          <w:rFonts w:hint="eastAsia" w:ascii="仿宋_GB2312" w:hAnsi="仿宋_GB2312" w:eastAsia="仿宋_GB2312" w:cs="仿宋_GB2312"/>
          <w:b w:val="0"/>
          <w:bCs/>
          <w:sz w:val="32"/>
          <w:szCs w:val="32"/>
          <w:lang w:val="en-US" w:eastAsia="zh-CN"/>
        </w:rPr>
        <w:t>规范</w:t>
      </w:r>
      <w:r>
        <w:rPr>
          <w:rFonts w:hint="default" w:ascii="仿宋_GB2312" w:hAnsi="仿宋_GB2312" w:eastAsia="仿宋_GB2312" w:cs="仿宋_GB2312"/>
          <w:b w:val="0"/>
          <w:bCs/>
          <w:sz w:val="32"/>
          <w:szCs w:val="32"/>
          <w:lang w:val="en-US" w:eastAsia="zh-CN"/>
        </w:rPr>
        <w:t>、</w:t>
      </w:r>
      <w:r>
        <w:rPr>
          <w:rFonts w:hint="eastAsia" w:ascii="仿宋_GB2312" w:hAnsi="仿宋_GB2312" w:eastAsia="仿宋_GB2312" w:cs="仿宋_GB2312"/>
          <w:b w:val="0"/>
          <w:bCs/>
          <w:sz w:val="32"/>
          <w:szCs w:val="32"/>
          <w:lang w:val="en-US" w:eastAsia="zh-CN"/>
        </w:rPr>
        <w:t>基础</w:t>
      </w:r>
      <w:r>
        <w:rPr>
          <w:rFonts w:hint="default" w:ascii="仿宋_GB2312" w:hAnsi="仿宋_GB2312" w:eastAsia="仿宋_GB2312" w:cs="仿宋_GB2312"/>
          <w:b w:val="0"/>
          <w:bCs/>
          <w:sz w:val="32"/>
          <w:szCs w:val="32"/>
          <w:lang w:val="en-US" w:eastAsia="zh-CN"/>
        </w:rPr>
        <w:t>数据</w:t>
      </w:r>
      <w:r>
        <w:rPr>
          <w:rFonts w:hint="eastAsia" w:ascii="仿宋_GB2312" w:hAnsi="仿宋_GB2312" w:eastAsia="仿宋_GB2312" w:cs="仿宋_GB2312"/>
          <w:b w:val="0"/>
          <w:bCs/>
          <w:sz w:val="32"/>
          <w:szCs w:val="32"/>
          <w:lang w:val="en-US" w:eastAsia="zh-CN"/>
        </w:rPr>
        <w:t>真实</w:t>
      </w:r>
      <w:r>
        <w:rPr>
          <w:rFonts w:hint="default" w:ascii="仿宋_GB2312" w:hAnsi="仿宋_GB2312" w:eastAsia="仿宋_GB2312" w:cs="仿宋_GB2312"/>
          <w:b w:val="0"/>
          <w:bCs/>
          <w:sz w:val="32"/>
          <w:szCs w:val="32"/>
          <w:lang w:val="en-US" w:eastAsia="zh-CN"/>
        </w:rPr>
        <w:t>准确、</w:t>
      </w:r>
      <w:r>
        <w:rPr>
          <w:rFonts w:hint="eastAsia" w:ascii="仿宋_GB2312" w:hAnsi="仿宋_GB2312" w:eastAsia="仿宋_GB2312" w:cs="仿宋_GB2312"/>
          <w:b w:val="0"/>
          <w:bCs/>
          <w:sz w:val="32"/>
          <w:szCs w:val="32"/>
          <w:lang w:val="en-US" w:eastAsia="zh-CN"/>
        </w:rPr>
        <w:t>最终</w:t>
      </w:r>
      <w:r>
        <w:rPr>
          <w:rFonts w:hint="default" w:ascii="仿宋_GB2312" w:hAnsi="仿宋_GB2312" w:eastAsia="仿宋_GB2312" w:cs="仿宋_GB2312"/>
          <w:b w:val="0"/>
          <w:bCs/>
          <w:sz w:val="32"/>
          <w:szCs w:val="32"/>
          <w:lang w:val="en-US" w:eastAsia="zh-CN"/>
        </w:rPr>
        <w:t>结果</w:t>
      </w:r>
      <w:r>
        <w:rPr>
          <w:rFonts w:hint="eastAsia" w:ascii="仿宋_GB2312" w:hAnsi="仿宋_GB2312" w:eastAsia="仿宋_GB2312" w:cs="仿宋_GB2312"/>
          <w:b w:val="0"/>
          <w:bCs/>
          <w:sz w:val="32"/>
          <w:szCs w:val="32"/>
          <w:lang w:val="en-US" w:eastAsia="zh-CN"/>
        </w:rPr>
        <w:t>权威</w:t>
      </w:r>
      <w:r>
        <w:rPr>
          <w:rFonts w:hint="default" w:ascii="仿宋_GB2312" w:hAnsi="仿宋_GB2312" w:eastAsia="仿宋_GB2312" w:cs="仿宋_GB2312"/>
          <w:b w:val="0"/>
          <w:bCs/>
          <w:sz w:val="32"/>
          <w:szCs w:val="32"/>
          <w:lang w:val="en-US" w:eastAsia="zh-CN"/>
        </w:rPr>
        <w:t>可靠。</w:t>
      </w:r>
    </w:p>
    <w:p>
      <w:pPr>
        <w:keepNext w:val="0"/>
        <w:keepLines w:val="0"/>
        <w:pageBreakBefore w:val="0"/>
        <w:widowControl/>
        <w:numPr>
          <w:ilvl w:val="0"/>
          <w:numId w:val="0"/>
        </w:numPr>
        <w:kinsoku/>
        <w:wordWrap/>
        <w:overflowPunct/>
        <w:topLinePunct w:val="0"/>
        <w:autoSpaceDE/>
        <w:autoSpaceDN/>
        <w:bidi w:val="0"/>
        <w:adjustRightInd/>
        <w:snapToGrid w:val="0"/>
        <w:spacing w:line="560" w:lineRule="exact"/>
        <w:ind w:firstLine="640" w:firstLineChars="200"/>
        <w:jc w:val="left"/>
        <w:textAlignment w:val="auto"/>
        <w:rPr>
          <w:rFonts w:hint="eastAsia" w:ascii="楷体_GB2312" w:hAnsi="楷体_GB2312" w:eastAsia="楷体_GB2312" w:cs="楷体_GB2312"/>
          <w:bCs/>
          <w:color w:val="000000"/>
          <w:kern w:val="0"/>
          <w:sz w:val="32"/>
          <w:szCs w:val="32"/>
          <w:lang w:val="en-US" w:eastAsia="zh-CN" w:bidi="ar"/>
        </w:rPr>
      </w:pPr>
      <w:r>
        <w:rPr>
          <w:rFonts w:hint="eastAsia" w:ascii="楷体_GB2312" w:hAnsi="楷体_GB2312" w:eastAsia="楷体_GB2312" w:cs="楷体_GB2312"/>
          <w:bCs/>
          <w:color w:val="000000"/>
          <w:kern w:val="0"/>
          <w:sz w:val="32"/>
          <w:szCs w:val="32"/>
          <w:lang w:val="en-US" w:eastAsia="zh-CN" w:bidi="ar"/>
        </w:rPr>
        <w:t>（四）深化对外合作，在援外医疗上再亮特色</w:t>
      </w:r>
    </w:p>
    <w:p>
      <w:pPr>
        <w:keepNext w:val="0"/>
        <w:keepLines w:val="0"/>
        <w:pageBreakBefore w:val="0"/>
        <w:widowControl/>
        <w:numPr>
          <w:ilvl w:val="0"/>
          <w:numId w:val="0"/>
        </w:numPr>
        <w:kinsoku/>
        <w:wordWrap/>
        <w:overflowPunct/>
        <w:topLinePunct w:val="0"/>
        <w:autoSpaceDE/>
        <w:autoSpaceDN/>
        <w:bidi w:val="0"/>
        <w:adjustRightInd/>
        <w:snapToGrid w:val="0"/>
        <w:spacing w:line="560" w:lineRule="exact"/>
        <w:ind w:firstLine="640" w:firstLineChars="200"/>
        <w:jc w:val="left"/>
        <w:textAlignment w:val="auto"/>
        <w:rPr>
          <w:rFonts w:hint="eastAsia" w:ascii="仿宋_GB2312" w:hAnsi="仿宋_GB2312" w:eastAsia="仿宋_GB2312" w:cs="仿宋_GB2312"/>
          <w:bCs/>
          <w:color w:val="000000"/>
          <w:kern w:val="0"/>
          <w:sz w:val="32"/>
          <w:szCs w:val="32"/>
          <w:lang w:val="en-US" w:eastAsia="zh-CN" w:bidi="ar"/>
        </w:rPr>
      </w:pPr>
      <w:r>
        <w:rPr>
          <w:rFonts w:hint="eastAsia" w:ascii="仿宋_GB2312" w:hAnsi="仿宋_GB2312" w:eastAsia="仿宋_GB2312" w:cs="仿宋_GB2312"/>
          <w:bCs/>
          <w:color w:val="000000"/>
          <w:kern w:val="0"/>
          <w:sz w:val="32"/>
          <w:szCs w:val="32"/>
          <w:lang w:val="en-US" w:eastAsia="zh-CN" w:bidi="ar"/>
        </w:rPr>
        <w:t>对外医疗合作工作将聚焦重点、系统谋划、协同推进，持续深耕中卢中医诊疗中心建设，倾力打造中医特色医疗品牌，积极推动医疗与康养服务深度融合，并依托援卢医疗队开展文化交流、人才培养及药用植物资源共研等合作；持续推动公共卫生专家增派工作，精准对接卢方实际需求，全方位助力当地公共卫生与传统医学的融合发展；同时筑牢安全底线，将平安医疗队建设摆在突出位置，指导医疗队常态化开展安全自查、密切关注当地局势变化、科学制定应急处置预案，确保各类突发情况均能高效稳妥应对。</w:t>
      </w:r>
      <w:bookmarkEnd w:id="1"/>
    </w:p>
    <w:p>
      <w:pPr>
        <w:pStyle w:val="5"/>
        <w:tabs>
          <w:tab w:val="left" w:pos="4392"/>
        </w:tabs>
        <w:adjustRightInd/>
        <w:snapToGrid/>
        <w:spacing w:before="0" w:after="0" w:line="600" w:lineRule="exact"/>
        <w:ind w:firstLine="0" w:firstLineChars="0"/>
        <w:jc w:val="center"/>
        <w:rPr>
          <w:rFonts w:hint="eastAsia" w:ascii="方正小标宋简体" w:hAnsi="方正小标宋简体" w:eastAsia="方正小标宋简体" w:cs="方正小标宋简体"/>
          <w:b w:val="0"/>
          <w:bCs w:val="0"/>
          <w:sz w:val="36"/>
          <w:szCs w:val="36"/>
          <w:highlight w:val="none"/>
        </w:rPr>
      </w:pPr>
    </w:p>
    <w:p>
      <w:pPr>
        <w:pStyle w:val="5"/>
        <w:tabs>
          <w:tab w:val="left" w:pos="4392"/>
        </w:tabs>
        <w:adjustRightInd/>
        <w:snapToGrid/>
        <w:spacing w:before="0" w:after="0" w:line="600" w:lineRule="exact"/>
        <w:ind w:firstLine="0" w:firstLineChars="0"/>
        <w:jc w:val="center"/>
        <w:rPr>
          <w:rFonts w:ascii="方正小标宋简体" w:hAnsi="方正小标宋简体" w:eastAsia="方正小标宋简体" w:cs="方正小标宋简体"/>
          <w:b w:val="0"/>
          <w:bCs w:val="0"/>
          <w:sz w:val="36"/>
          <w:szCs w:val="36"/>
          <w:highlight w:val="none"/>
        </w:rPr>
      </w:pPr>
      <w:r>
        <w:rPr>
          <w:rFonts w:hint="eastAsia" w:ascii="方正小标宋简体" w:hAnsi="方正小标宋简体" w:eastAsia="方正小标宋简体" w:cs="方正小标宋简体"/>
          <w:b w:val="0"/>
          <w:bCs w:val="0"/>
          <w:sz w:val="36"/>
          <w:szCs w:val="36"/>
          <w:highlight w:val="none"/>
        </w:rPr>
        <w:t>第二部分</w:t>
      </w:r>
      <w:r>
        <w:rPr>
          <w:rFonts w:hint="eastAsia" w:ascii="方正小标宋简体" w:hAnsi="方正小标宋简体" w:eastAsia="方正小标宋简体" w:cs="方正小标宋简体"/>
          <w:b w:val="0"/>
          <w:bCs w:val="0"/>
          <w:sz w:val="36"/>
          <w:szCs w:val="36"/>
          <w:highlight w:val="none"/>
          <w:lang w:val="en-US" w:eastAsia="zh-CN"/>
        </w:rPr>
        <w:t xml:space="preserve">  2026</w:t>
      </w:r>
      <w:r>
        <w:rPr>
          <w:rFonts w:hint="eastAsia" w:ascii="方正小标宋简体" w:hAnsi="方正小标宋简体" w:eastAsia="方正小标宋简体" w:cs="方正小标宋简体"/>
          <w:b w:val="0"/>
          <w:bCs w:val="0"/>
          <w:sz w:val="36"/>
          <w:szCs w:val="36"/>
          <w:highlight w:val="none"/>
        </w:rPr>
        <w:t>年度单位预算情况说明</w:t>
      </w:r>
      <w:bookmarkEnd w:id="2"/>
    </w:p>
    <w:p>
      <w:pPr>
        <w:spacing w:line="600" w:lineRule="exact"/>
        <w:rPr>
          <w:rFonts w:ascii="方正小标宋简体" w:hAnsi="方正小标宋简体" w:eastAsia="方正小标宋简体" w:cs="方正小标宋简体"/>
          <w:sz w:val="36"/>
          <w:szCs w:val="36"/>
          <w:highlight w:val="none"/>
        </w:rPr>
      </w:pPr>
    </w:p>
    <w:p>
      <w:pPr>
        <w:spacing w:line="600" w:lineRule="exact"/>
        <w:ind w:left="0" w:leftChars="0" w:firstLine="640" w:firstLineChars="200"/>
        <w:outlineLvl w:val="2"/>
        <w:rPr>
          <w:rFonts w:eastAsia="黑体" w:cs="黑体"/>
          <w:sz w:val="32"/>
          <w:szCs w:val="36"/>
          <w:highlight w:val="none"/>
        </w:rPr>
      </w:pPr>
      <w:r>
        <w:rPr>
          <w:rFonts w:hint="eastAsia" w:eastAsia="黑体" w:cs="黑体"/>
          <w:sz w:val="32"/>
          <w:szCs w:val="36"/>
          <w:highlight w:val="none"/>
        </w:rPr>
        <w:t>一、收支预算总体情况说明</w:t>
      </w:r>
    </w:p>
    <w:p>
      <w:pPr>
        <w:pStyle w:val="10"/>
        <w:tabs>
          <w:tab w:val="left" w:pos="5840"/>
          <w:tab w:val="left" w:pos="7858"/>
          <w:tab w:val="left" w:pos="9328"/>
        </w:tabs>
        <w:spacing w:after="0" w:line="60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lang w:val="en-US" w:eastAsia="zh-CN"/>
        </w:rPr>
        <w:t>内蒙古自治区卫生健康委员会综合保障中心</w:t>
      </w:r>
      <w:r>
        <w:rPr>
          <w:rFonts w:hint="eastAsia" w:ascii="仿宋_GB2312" w:hAnsi="仿宋_GB2312" w:eastAsia="仿宋_GB2312" w:cs="仿宋"/>
          <w:sz w:val="32"/>
          <w:szCs w:val="32"/>
          <w:highlight w:val="none"/>
          <w:lang w:val="en-US" w:eastAsia="zh-CN"/>
        </w:rPr>
        <w:t>2026</w:t>
      </w:r>
      <w:r>
        <w:rPr>
          <w:rFonts w:hint="eastAsia" w:ascii="仿宋_GB2312" w:hAnsi="仿宋_GB2312" w:eastAsia="仿宋_GB2312" w:cs="仿宋_GB2312"/>
          <w:sz w:val="32"/>
          <w:szCs w:val="32"/>
          <w:highlight w:val="none"/>
        </w:rPr>
        <w:t>年度收入、支出预算总计</w:t>
      </w:r>
      <w:r>
        <w:rPr>
          <w:rFonts w:hint="eastAsia" w:ascii="Times New Roman" w:hAnsi="Times New Roman" w:eastAsia="仿宋_GB2312" w:cs="Times New Roman"/>
          <w:kern w:val="2"/>
          <w:sz w:val="32"/>
          <w:szCs w:val="32"/>
          <w:highlight w:val="none"/>
          <w:u w:val="single"/>
          <w:lang w:val="en-US" w:eastAsia="zh-CN" w:bidi="ar-SA"/>
        </w:rPr>
        <w:t>2293.73</w:t>
      </w:r>
      <w:r>
        <w:rPr>
          <w:rFonts w:hint="eastAsia" w:ascii="仿宋_GB2312" w:hAnsi="仿宋_GB2312" w:eastAsia="仿宋_GB2312" w:cs="仿宋_GB2312"/>
          <w:sz w:val="32"/>
          <w:szCs w:val="32"/>
          <w:highlight w:val="none"/>
        </w:rPr>
        <w:t>万元，与上年相比收、支预算总计各</w:t>
      </w:r>
      <w:r>
        <w:rPr>
          <w:rFonts w:hint="eastAsia" w:ascii="Times New Roman" w:hAnsi="Times New Roman" w:eastAsia="仿宋_GB2312" w:cs="Times New Roman"/>
          <w:kern w:val="2"/>
          <w:sz w:val="32"/>
          <w:szCs w:val="32"/>
          <w:highlight w:val="none"/>
          <w:u w:val="none"/>
          <w:lang w:val="en-US" w:eastAsia="zh-CN" w:bidi="ar-SA"/>
        </w:rPr>
        <w:t>增加</w:t>
      </w:r>
      <w:r>
        <w:rPr>
          <w:rFonts w:hint="eastAsia" w:ascii="Times New Roman" w:hAnsi="Times New Roman" w:eastAsia="仿宋_GB2312" w:cs="Times New Roman"/>
          <w:kern w:val="2"/>
          <w:sz w:val="32"/>
          <w:szCs w:val="32"/>
          <w:highlight w:val="none"/>
          <w:u w:val="single"/>
          <w:lang w:val="en-US" w:eastAsia="zh-CN" w:bidi="ar-SA"/>
        </w:rPr>
        <w:t>394.29</w:t>
      </w:r>
      <w:r>
        <w:rPr>
          <w:rFonts w:hint="eastAsia" w:ascii="仿宋_GB2312" w:hAnsi="仿宋_GB2312" w:eastAsia="仿宋_GB2312" w:cs="仿宋_GB2312"/>
          <w:sz w:val="32"/>
          <w:szCs w:val="32"/>
          <w:highlight w:val="none"/>
        </w:rPr>
        <w:t>万元，增长</w:t>
      </w:r>
      <w:r>
        <w:rPr>
          <w:rFonts w:hint="eastAsia" w:ascii="Times New Roman" w:hAnsi="Times New Roman" w:eastAsia="仿宋_GB2312" w:cs="Times New Roman"/>
          <w:kern w:val="2"/>
          <w:sz w:val="32"/>
          <w:szCs w:val="32"/>
          <w:highlight w:val="none"/>
          <w:u w:val="single"/>
          <w:lang w:val="en-US" w:eastAsia="zh-CN" w:bidi="ar-SA"/>
        </w:rPr>
        <w:t>20.76</w:t>
      </w:r>
      <w:r>
        <w:rPr>
          <w:rFonts w:hint="eastAsia" w:ascii="仿宋_GB2312" w:hAnsi="仿宋_GB2312" w:eastAsia="仿宋_GB2312" w:cs="仿宋_GB2312"/>
          <w:sz w:val="32"/>
          <w:szCs w:val="32"/>
          <w:highlight w:val="none"/>
        </w:rPr>
        <w:t>%。其中：</w:t>
      </w:r>
    </w:p>
    <w:p>
      <w:pPr>
        <w:pStyle w:val="10"/>
        <w:tabs>
          <w:tab w:val="left" w:pos="4275"/>
        </w:tabs>
        <w:spacing w:after="0" w:line="600" w:lineRule="exact"/>
        <w:ind w:firstLine="643" w:firstLineChars="200"/>
        <w:rPr>
          <w:rFonts w:ascii="楷体" w:hAnsi="楷体" w:eastAsia="楷体" w:cs="楷体"/>
          <w:b/>
          <w:bCs/>
          <w:sz w:val="32"/>
          <w:szCs w:val="32"/>
          <w:highlight w:val="none"/>
        </w:rPr>
      </w:pPr>
      <w:r>
        <w:rPr>
          <w:rFonts w:hint="eastAsia" w:ascii="楷体" w:hAnsi="楷体" w:eastAsia="楷体" w:cs="楷体"/>
          <w:b/>
          <w:bCs/>
          <w:sz w:val="32"/>
          <w:szCs w:val="32"/>
          <w:highlight w:val="none"/>
        </w:rPr>
        <w:t>（一）收入预算总计</w:t>
      </w:r>
      <w:r>
        <w:rPr>
          <w:rFonts w:hint="eastAsia" w:eastAsia="仿宋_GB2312" w:cs="仿宋"/>
          <w:sz w:val="32"/>
          <w:szCs w:val="32"/>
          <w:highlight w:val="none"/>
          <w:u w:val="single"/>
          <w:lang w:val="en-US" w:eastAsia="zh-CN"/>
        </w:rPr>
        <w:t>2293.73</w:t>
      </w:r>
      <w:r>
        <w:rPr>
          <w:rFonts w:hint="eastAsia" w:ascii="楷体" w:hAnsi="楷体" w:eastAsia="楷体" w:cs="楷体"/>
          <w:b/>
          <w:bCs/>
          <w:sz w:val="32"/>
          <w:szCs w:val="32"/>
          <w:highlight w:val="none"/>
        </w:rPr>
        <w:t>万元。包括：</w:t>
      </w:r>
    </w:p>
    <w:p>
      <w:pPr>
        <w:pStyle w:val="10"/>
        <w:tabs>
          <w:tab w:val="left" w:pos="3792"/>
        </w:tabs>
        <w:spacing w:after="0" w:line="600" w:lineRule="exact"/>
        <w:ind w:firstLine="640" w:firstLineChars="200"/>
        <w:rPr>
          <w:rFonts w:eastAsia="仿宋_GB2312"/>
          <w:sz w:val="32"/>
          <w:szCs w:val="32"/>
          <w:highlight w:val="none"/>
        </w:rPr>
      </w:pPr>
      <w:r>
        <w:rPr>
          <w:rFonts w:eastAsia="仿宋_GB2312"/>
          <w:sz w:val="32"/>
          <w:szCs w:val="32"/>
          <w:highlight w:val="none"/>
        </w:rPr>
        <w:t>1．本年收入合计</w:t>
      </w:r>
      <w:r>
        <w:rPr>
          <w:rFonts w:hint="eastAsia" w:ascii="Times New Roman" w:hAnsi="Times New Roman" w:eastAsia="仿宋_GB2312" w:cs="Times New Roman"/>
          <w:kern w:val="2"/>
          <w:sz w:val="32"/>
          <w:szCs w:val="32"/>
          <w:highlight w:val="none"/>
          <w:u w:val="single"/>
          <w:lang w:val="en-US" w:eastAsia="zh-CN" w:bidi="ar-SA"/>
        </w:rPr>
        <w:t>2293.73</w:t>
      </w:r>
      <w:r>
        <w:rPr>
          <w:rFonts w:eastAsia="仿宋_GB2312"/>
          <w:sz w:val="32"/>
          <w:szCs w:val="32"/>
          <w:highlight w:val="none"/>
        </w:rPr>
        <w:t>万元。</w:t>
      </w:r>
    </w:p>
    <w:p>
      <w:pPr>
        <w:widowControl/>
        <w:snapToGrid w:val="0"/>
        <w:spacing w:line="560" w:lineRule="exact"/>
        <w:ind w:firstLine="640" w:firstLineChars="200"/>
        <w:jc w:val="left"/>
        <w:rPr>
          <w:rFonts w:eastAsia="仿宋_GB2312"/>
          <w:sz w:val="32"/>
          <w:szCs w:val="32"/>
          <w:highlight w:val="none"/>
        </w:rPr>
      </w:pPr>
      <w:r>
        <w:rPr>
          <w:rFonts w:eastAsia="仿宋_GB2312"/>
          <w:sz w:val="32"/>
          <w:szCs w:val="32"/>
          <w:highlight w:val="none"/>
        </w:rPr>
        <w:t>（1）一般公共预算拨款收入</w:t>
      </w:r>
      <w:r>
        <w:rPr>
          <w:rFonts w:hint="eastAsia" w:eastAsia="仿宋_GB2312"/>
          <w:sz w:val="32"/>
          <w:szCs w:val="32"/>
          <w:highlight w:val="none"/>
          <w:u w:val="single"/>
          <w:lang w:val="en-US" w:eastAsia="zh-CN"/>
        </w:rPr>
        <w:t>1122.20</w:t>
      </w:r>
      <w:r>
        <w:rPr>
          <w:rFonts w:eastAsia="仿宋_GB2312"/>
          <w:sz w:val="32"/>
          <w:szCs w:val="32"/>
          <w:highlight w:val="none"/>
        </w:rPr>
        <w:t>万元，与上年相比增加</w:t>
      </w:r>
      <w:r>
        <w:rPr>
          <w:rFonts w:hint="eastAsia" w:eastAsia="仿宋_GB2312"/>
          <w:sz w:val="32"/>
          <w:szCs w:val="32"/>
          <w:highlight w:val="none"/>
          <w:u w:val="single"/>
          <w:lang w:val="en-US" w:eastAsia="zh-CN"/>
        </w:rPr>
        <w:t>128.66</w:t>
      </w:r>
      <w:r>
        <w:rPr>
          <w:rFonts w:eastAsia="仿宋_GB2312"/>
          <w:sz w:val="32"/>
          <w:szCs w:val="32"/>
          <w:highlight w:val="none"/>
        </w:rPr>
        <w:t>万元，增长</w:t>
      </w:r>
      <w:r>
        <w:rPr>
          <w:rFonts w:hint="eastAsia" w:eastAsia="仿宋_GB2312"/>
          <w:sz w:val="32"/>
          <w:szCs w:val="32"/>
          <w:highlight w:val="none"/>
          <w:u w:val="single"/>
          <w:lang w:val="en-US" w:eastAsia="zh-CN"/>
        </w:rPr>
        <w:t>12.95</w:t>
      </w:r>
      <w:r>
        <w:rPr>
          <w:rFonts w:hint="eastAsia" w:ascii="仿宋_GB2312" w:hAnsi="仿宋_GB2312" w:eastAsia="仿宋_GB2312"/>
          <w:sz w:val="32"/>
          <w:szCs w:val="32"/>
          <w:highlight w:val="none"/>
          <w:lang w:eastAsia="zh-CN"/>
        </w:rPr>
        <w:t>%</w:t>
      </w:r>
      <w:r>
        <w:rPr>
          <w:rFonts w:eastAsia="仿宋_GB2312"/>
          <w:sz w:val="32"/>
          <w:szCs w:val="32"/>
          <w:highlight w:val="none"/>
        </w:rPr>
        <w:t>。主要原因是</w:t>
      </w:r>
      <w:r>
        <w:rPr>
          <w:rFonts w:hint="eastAsia" w:ascii="仿宋_GB2312" w:hAnsi="仿宋_GB2312" w:eastAsia="仿宋_GB2312" w:cs="仿宋_GB2312"/>
          <w:sz w:val="32"/>
          <w:szCs w:val="32"/>
          <w:lang w:val="en-US" w:eastAsia="zh-CN"/>
        </w:rPr>
        <w:t>我单位职工工资福利支出以及机构运行工作经费，上一年末新增在编人员</w:t>
      </w:r>
      <w:r>
        <w:rPr>
          <w:rFonts w:hint="eastAsia" w:ascii="Times New Roman" w:hAnsi="Times New Roman" w:eastAsia="仿宋_GB2312" w:cs="Times New Roman"/>
          <w:kern w:val="2"/>
          <w:sz w:val="32"/>
          <w:szCs w:val="32"/>
          <w:highlight w:val="none"/>
          <w:u w:val="none"/>
          <w:lang w:val="en-US" w:eastAsia="zh-CN" w:bidi="ar-SA"/>
        </w:rPr>
        <w:t>8</w:t>
      </w:r>
      <w:r>
        <w:rPr>
          <w:rFonts w:hint="eastAsia" w:ascii="仿宋_GB2312" w:hAnsi="仿宋_GB2312" w:eastAsia="仿宋_GB2312" w:cs="仿宋_GB2312"/>
          <w:sz w:val="32"/>
          <w:szCs w:val="32"/>
          <w:lang w:val="en-US" w:eastAsia="zh-CN"/>
        </w:rPr>
        <w:t>人，安置退伍士官</w:t>
      </w:r>
      <w:r>
        <w:rPr>
          <w:rFonts w:hint="eastAsia" w:ascii="Times New Roman" w:hAnsi="Times New Roman" w:eastAsia="仿宋_GB2312" w:cs="Times New Roman"/>
          <w:kern w:val="2"/>
          <w:sz w:val="32"/>
          <w:szCs w:val="32"/>
          <w:highlight w:val="none"/>
          <w:u w:val="none"/>
          <w:lang w:val="en-US" w:eastAsia="zh-CN" w:bidi="ar-SA"/>
        </w:rPr>
        <w:t>3</w:t>
      </w:r>
      <w:r>
        <w:rPr>
          <w:rFonts w:hint="eastAsia" w:ascii="仿宋_GB2312" w:hAnsi="仿宋_GB2312" w:eastAsia="仿宋_GB2312" w:cs="仿宋_GB2312"/>
          <w:sz w:val="32"/>
          <w:szCs w:val="32"/>
          <w:lang w:val="en-US" w:eastAsia="zh-CN"/>
        </w:rPr>
        <w:t>人，我单位职能职责更加丰富，所需工作经费也随之增长</w:t>
      </w:r>
      <w:r>
        <w:rPr>
          <w:rFonts w:eastAsia="仿宋_GB2312"/>
          <w:sz w:val="32"/>
          <w:szCs w:val="32"/>
          <w:highlight w:val="none"/>
        </w:rPr>
        <w:t>。</w:t>
      </w:r>
    </w:p>
    <w:p>
      <w:pPr>
        <w:pStyle w:val="10"/>
        <w:tabs>
          <w:tab w:val="left" w:pos="1389"/>
          <w:tab w:val="left" w:pos="4911"/>
          <w:tab w:val="left" w:pos="6205"/>
        </w:tabs>
        <w:spacing w:after="0" w:line="600" w:lineRule="exact"/>
        <w:ind w:firstLine="640" w:firstLineChars="200"/>
        <w:rPr>
          <w:rFonts w:hint="eastAsia" w:eastAsia="仿宋_GB2312"/>
          <w:sz w:val="32"/>
          <w:szCs w:val="32"/>
          <w:highlight w:val="none"/>
          <w:lang w:val="en-US" w:eastAsia="zh-CN"/>
        </w:rPr>
      </w:pPr>
      <w:r>
        <w:rPr>
          <w:rFonts w:eastAsia="仿宋_GB2312"/>
          <w:sz w:val="32"/>
          <w:szCs w:val="32"/>
          <w:highlight w:val="none"/>
        </w:rPr>
        <w:t>（2）政府性基金预算拨款收入</w:t>
      </w:r>
      <w:r>
        <w:rPr>
          <w:rFonts w:hint="eastAsia" w:ascii="Times New Roman" w:hAnsi="Times New Roman" w:eastAsia="仿宋_GB2312" w:cs="Times New Roman"/>
          <w:kern w:val="2"/>
          <w:sz w:val="32"/>
          <w:szCs w:val="32"/>
          <w:highlight w:val="none"/>
          <w:u w:val="single"/>
          <w:lang w:val="en-US" w:eastAsia="zh-CN" w:bidi="ar-SA"/>
        </w:rPr>
        <w:t>0</w:t>
      </w:r>
      <w:r>
        <w:rPr>
          <w:rFonts w:eastAsia="仿宋_GB2312"/>
          <w:sz w:val="32"/>
          <w:szCs w:val="32"/>
          <w:highlight w:val="none"/>
        </w:rPr>
        <w:t>万元，</w:t>
      </w:r>
      <w:r>
        <w:rPr>
          <w:rFonts w:hint="eastAsia" w:eastAsia="仿宋_GB2312"/>
          <w:sz w:val="32"/>
          <w:szCs w:val="32"/>
          <w:highlight w:val="none"/>
          <w:lang w:val="en-US" w:eastAsia="zh-CN"/>
        </w:rPr>
        <w:t xml:space="preserve">与上年相比无变化，主要原因是不存在此项内容。 </w:t>
      </w:r>
    </w:p>
    <w:p>
      <w:pPr>
        <w:pStyle w:val="10"/>
        <w:tabs>
          <w:tab w:val="left" w:pos="1389"/>
          <w:tab w:val="left" w:pos="4911"/>
          <w:tab w:val="left" w:pos="5898"/>
        </w:tabs>
        <w:spacing w:after="0" w:line="600" w:lineRule="exact"/>
        <w:ind w:firstLine="640" w:firstLineChars="200"/>
        <w:rPr>
          <w:rFonts w:hint="eastAsia" w:eastAsia="仿宋_GB2312"/>
          <w:sz w:val="32"/>
          <w:szCs w:val="32"/>
          <w:highlight w:val="none"/>
          <w:lang w:val="en-US" w:eastAsia="zh-CN"/>
        </w:rPr>
      </w:pPr>
      <w:r>
        <w:rPr>
          <w:rFonts w:eastAsia="仿宋_GB2312"/>
          <w:sz w:val="32"/>
          <w:szCs w:val="32"/>
          <w:highlight w:val="none"/>
        </w:rPr>
        <w:t>（3）国有资本经营预算拨款收入</w:t>
      </w:r>
      <w:r>
        <w:rPr>
          <w:rFonts w:hint="eastAsia" w:eastAsia="仿宋_GB2312"/>
          <w:sz w:val="32"/>
          <w:szCs w:val="32"/>
          <w:highlight w:val="none"/>
          <w:u w:val="single"/>
          <w:lang w:val="en-US" w:eastAsia="zh-CN"/>
        </w:rPr>
        <w:t>0</w:t>
      </w:r>
      <w:r>
        <w:rPr>
          <w:rFonts w:eastAsia="仿宋_GB2312"/>
          <w:sz w:val="32"/>
          <w:szCs w:val="32"/>
          <w:highlight w:val="none"/>
        </w:rPr>
        <w:t>万元，</w:t>
      </w:r>
      <w:r>
        <w:rPr>
          <w:rFonts w:hint="eastAsia" w:eastAsia="仿宋_GB2312"/>
          <w:sz w:val="32"/>
          <w:szCs w:val="32"/>
          <w:highlight w:val="none"/>
          <w:lang w:val="en-US" w:eastAsia="zh-CN"/>
        </w:rPr>
        <w:t xml:space="preserve">与上年相比无变化，主要原因是不存在此项内容。 </w:t>
      </w:r>
    </w:p>
    <w:p>
      <w:pPr>
        <w:pStyle w:val="10"/>
        <w:tabs>
          <w:tab w:val="left" w:pos="1389"/>
          <w:tab w:val="left" w:pos="4911"/>
          <w:tab w:val="left" w:pos="6205"/>
        </w:tabs>
        <w:spacing w:after="0" w:line="600" w:lineRule="exact"/>
        <w:ind w:firstLine="640" w:firstLineChars="200"/>
        <w:rPr>
          <w:rFonts w:eastAsia="仿宋_GB2312"/>
          <w:sz w:val="32"/>
          <w:szCs w:val="32"/>
          <w:highlight w:val="none"/>
        </w:rPr>
      </w:pPr>
      <w:r>
        <w:rPr>
          <w:rFonts w:eastAsia="仿宋_GB2312"/>
          <w:sz w:val="32"/>
          <w:szCs w:val="32"/>
          <w:highlight w:val="none"/>
        </w:rPr>
        <w:t>（4）财政专户管理资金收入</w:t>
      </w:r>
      <w:r>
        <w:rPr>
          <w:rFonts w:hint="eastAsia" w:eastAsia="仿宋_GB2312"/>
          <w:sz w:val="32"/>
          <w:szCs w:val="32"/>
          <w:highlight w:val="none"/>
          <w:u w:val="single"/>
          <w:lang w:val="en-US" w:eastAsia="zh-CN"/>
        </w:rPr>
        <w:t>0</w:t>
      </w:r>
      <w:r>
        <w:rPr>
          <w:rFonts w:eastAsia="仿宋_GB2312"/>
          <w:sz w:val="32"/>
          <w:szCs w:val="32"/>
          <w:highlight w:val="none"/>
        </w:rPr>
        <w:t>万元，</w:t>
      </w:r>
      <w:r>
        <w:rPr>
          <w:rFonts w:hint="eastAsia" w:eastAsia="仿宋_GB2312"/>
          <w:sz w:val="32"/>
          <w:szCs w:val="32"/>
          <w:highlight w:val="none"/>
          <w:lang w:val="en-US" w:eastAsia="zh-CN"/>
        </w:rPr>
        <w:t xml:space="preserve">与上年相比无变化，主要原因是不存在此项内容。 </w:t>
      </w:r>
    </w:p>
    <w:p>
      <w:pPr>
        <w:pStyle w:val="10"/>
        <w:tabs>
          <w:tab w:val="left" w:pos="3310"/>
          <w:tab w:val="left" w:pos="3807"/>
          <w:tab w:val="left" w:pos="9433"/>
        </w:tabs>
        <w:spacing w:after="0" w:line="600" w:lineRule="exact"/>
        <w:ind w:firstLine="640" w:firstLineChars="200"/>
        <w:rPr>
          <w:rFonts w:eastAsia="仿宋_GB2312"/>
          <w:sz w:val="32"/>
          <w:szCs w:val="32"/>
          <w:highlight w:val="none"/>
        </w:rPr>
      </w:pPr>
      <w:r>
        <w:rPr>
          <w:rFonts w:eastAsia="仿宋_GB2312"/>
          <w:sz w:val="32"/>
          <w:szCs w:val="32"/>
          <w:highlight w:val="none"/>
        </w:rPr>
        <w:t>（5）事业收入</w:t>
      </w:r>
      <w:r>
        <w:rPr>
          <w:rFonts w:hint="eastAsia" w:eastAsia="仿宋_GB2312"/>
          <w:sz w:val="32"/>
          <w:szCs w:val="32"/>
          <w:highlight w:val="none"/>
          <w:u w:val="single"/>
          <w:lang w:val="en-US" w:eastAsia="zh-CN"/>
        </w:rPr>
        <w:t>1171.53</w:t>
      </w:r>
      <w:r>
        <w:rPr>
          <w:rFonts w:eastAsia="仿宋_GB2312"/>
          <w:sz w:val="32"/>
          <w:szCs w:val="32"/>
          <w:highlight w:val="none"/>
        </w:rPr>
        <w:t>万元，与上年相比增加</w:t>
      </w:r>
      <w:r>
        <w:rPr>
          <w:rFonts w:hint="eastAsia" w:eastAsia="仿宋_GB2312"/>
          <w:sz w:val="32"/>
          <w:szCs w:val="32"/>
          <w:highlight w:val="none"/>
          <w:u w:val="single"/>
          <w:lang w:val="en-US" w:eastAsia="zh-CN"/>
        </w:rPr>
        <w:t>265.63</w:t>
      </w:r>
      <w:r>
        <w:rPr>
          <w:rFonts w:eastAsia="仿宋_GB2312"/>
          <w:sz w:val="32"/>
          <w:szCs w:val="32"/>
          <w:highlight w:val="none"/>
        </w:rPr>
        <w:t>万元，增长</w:t>
      </w:r>
      <w:r>
        <w:rPr>
          <w:rFonts w:hint="eastAsia" w:eastAsia="仿宋_GB2312"/>
          <w:sz w:val="32"/>
          <w:szCs w:val="32"/>
          <w:highlight w:val="none"/>
          <w:u w:val="single"/>
          <w:lang w:val="en-US" w:eastAsia="zh-CN"/>
        </w:rPr>
        <w:t>29.33</w:t>
      </w:r>
      <w:r>
        <w:rPr>
          <w:rFonts w:hint="eastAsia" w:ascii="仿宋_GB2312" w:hAnsi="仿宋_GB2312" w:eastAsia="仿宋_GB2312"/>
          <w:sz w:val="32"/>
          <w:szCs w:val="32"/>
          <w:highlight w:val="none"/>
          <w:lang w:eastAsia="zh-CN"/>
        </w:rPr>
        <w:t>%</w:t>
      </w:r>
      <w:r>
        <w:rPr>
          <w:rFonts w:eastAsia="仿宋_GB2312"/>
          <w:sz w:val="32"/>
          <w:szCs w:val="32"/>
          <w:highlight w:val="none"/>
        </w:rPr>
        <w:t>。主要原因是</w:t>
      </w:r>
      <w:r>
        <w:rPr>
          <w:rFonts w:hint="eastAsia" w:ascii="仿宋_GB2312" w:hAnsi="仿宋_GB2312" w:eastAsia="仿宋_GB2312"/>
          <w:sz w:val="32"/>
          <w:szCs w:val="32"/>
          <w:highlight w:val="none"/>
          <w:lang w:eastAsia="zh-CN"/>
        </w:rPr>
        <w:t>根据工作安排，第</w:t>
      </w:r>
      <w:r>
        <w:rPr>
          <w:rFonts w:hint="eastAsia" w:ascii="仿宋_GB2312" w:hAnsi="仿宋_GB2312" w:eastAsia="仿宋_GB2312"/>
          <w:sz w:val="32"/>
          <w:szCs w:val="32"/>
          <w:highlight w:val="none"/>
          <w:lang w:val="en-US" w:eastAsia="zh-CN"/>
        </w:rPr>
        <w:t>26批援卢医疗队员增派</w:t>
      </w:r>
      <w:r>
        <w:rPr>
          <w:rFonts w:hint="eastAsia" w:ascii="Times New Roman" w:hAnsi="Times New Roman" w:eastAsia="仿宋_GB2312" w:cs="Times New Roman"/>
          <w:kern w:val="2"/>
          <w:sz w:val="32"/>
          <w:szCs w:val="32"/>
          <w:highlight w:val="none"/>
          <w:u w:val="none"/>
          <w:lang w:val="en-US" w:eastAsia="zh-CN" w:bidi="ar-SA"/>
        </w:rPr>
        <w:t>1</w:t>
      </w:r>
      <w:r>
        <w:rPr>
          <w:rFonts w:hint="eastAsia" w:ascii="仿宋_GB2312" w:hAnsi="仿宋_GB2312" w:eastAsia="仿宋_GB2312"/>
          <w:sz w:val="32"/>
          <w:szCs w:val="32"/>
          <w:highlight w:val="none"/>
          <w:lang w:val="en-US" w:eastAsia="zh-CN"/>
        </w:rPr>
        <w:t>名专职队长、</w:t>
      </w:r>
      <w:r>
        <w:rPr>
          <w:rFonts w:hint="eastAsia" w:ascii="Times New Roman" w:hAnsi="Times New Roman" w:eastAsia="仿宋_GB2312" w:cs="Times New Roman"/>
          <w:kern w:val="2"/>
          <w:sz w:val="32"/>
          <w:szCs w:val="32"/>
          <w:highlight w:val="none"/>
          <w:u w:val="none"/>
          <w:lang w:val="en-US" w:eastAsia="zh-CN" w:bidi="ar-SA"/>
        </w:rPr>
        <w:t>3名</w:t>
      </w:r>
      <w:r>
        <w:rPr>
          <w:rFonts w:hint="eastAsia" w:ascii="仿宋_GB2312" w:hAnsi="仿宋_GB2312" w:eastAsia="仿宋_GB2312"/>
          <w:sz w:val="32"/>
          <w:szCs w:val="32"/>
          <w:highlight w:val="none"/>
          <w:lang w:val="en-US" w:eastAsia="zh-CN"/>
        </w:rPr>
        <w:t>中医队员，相应的技术补贴费、津补贴、差旅费等经费相应增长</w:t>
      </w:r>
      <w:r>
        <w:rPr>
          <w:rFonts w:eastAsia="仿宋_GB2312"/>
          <w:sz w:val="32"/>
          <w:szCs w:val="32"/>
          <w:highlight w:val="none"/>
        </w:rPr>
        <w:t>。</w:t>
      </w:r>
    </w:p>
    <w:p>
      <w:pPr>
        <w:pStyle w:val="10"/>
        <w:tabs>
          <w:tab w:val="left" w:pos="1389"/>
          <w:tab w:val="left" w:pos="4911"/>
          <w:tab w:val="left" w:pos="6205"/>
        </w:tabs>
        <w:spacing w:after="0" w:line="600" w:lineRule="exact"/>
        <w:ind w:firstLine="640" w:firstLineChars="200"/>
        <w:rPr>
          <w:rFonts w:eastAsia="仿宋_GB2312"/>
          <w:sz w:val="32"/>
          <w:szCs w:val="32"/>
          <w:highlight w:val="none"/>
        </w:rPr>
      </w:pPr>
      <w:r>
        <w:rPr>
          <w:rFonts w:eastAsia="仿宋_GB2312"/>
          <w:sz w:val="32"/>
          <w:szCs w:val="32"/>
          <w:highlight w:val="none"/>
        </w:rPr>
        <w:t>（6）事业单位经营收入</w:t>
      </w:r>
      <w:r>
        <w:rPr>
          <w:rFonts w:hint="eastAsia" w:eastAsia="仿宋_GB2312"/>
          <w:sz w:val="32"/>
          <w:szCs w:val="32"/>
          <w:highlight w:val="none"/>
          <w:u w:val="single"/>
          <w:lang w:val="en-US" w:eastAsia="zh-CN"/>
        </w:rPr>
        <w:t>0</w:t>
      </w:r>
      <w:r>
        <w:rPr>
          <w:rFonts w:eastAsia="仿宋_GB2312"/>
          <w:sz w:val="32"/>
          <w:szCs w:val="32"/>
          <w:highlight w:val="none"/>
        </w:rPr>
        <w:t>万元，</w:t>
      </w:r>
      <w:r>
        <w:rPr>
          <w:rFonts w:hint="eastAsia" w:eastAsia="仿宋_GB2312"/>
          <w:sz w:val="32"/>
          <w:szCs w:val="32"/>
          <w:highlight w:val="none"/>
          <w:lang w:val="en-US" w:eastAsia="zh-CN"/>
        </w:rPr>
        <w:t xml:space="preserve">与上年相比无变化，主要原因是不存在此项内容。 </w:t>
      </w:r>
    </w:p>
    <w:p>
      <w:pPr>
        <w:pStyle w:val="10"/>
        <w:tabs>
          <w:tab w:val="left" w:pos="1389"/>
          <w:tab w:val="left" w:pos="4911"/>
          <w:tab w:val="left" w:pos="6205"/>
        </w:tabs>
        <w:spacing w:after="0" w:line="600" w:lineRule="exact"/>
        <w:ind w:firstLine="640" w:firstLineChars="200"/>
        <w:rPr>
          <w:rFonts w:eastAsia="仿宋_GB2312"/>
          <w:sz w:val="32"/>
          <w:szCs w:val="32"/>
          <w:highlight w:val="none"/>
        </w:rPr>
      </w:pPr>
      <w:r>
        <w:rPr>
          <w:rFonts w:eastAsia="仿宋_GB2312"/>
          <w:sz w:val="32"/>
          <w:szCs w:val="32"/>
          <w:highlight w:val="none"/>
        </w:rPr>
        <w:t>（7）上级补助收入</w:t>
      </w:r>
      <w:r>
        <w:rPr>
          <w:rFonts w:hint="eastAsia" w:eastAsia="仿宋_GB2312"/>
          <w:sz w:val="32"/>
          <w:szCs w:val="32"/>
          <w:highlight w:val="none"/>
          <w:u w:val="single"/>
          <w:lang w:val="en-US" w:eastAsia="zh-CN"/>
        </w:rPr>
        <w:t>0</w:t>
      </w:r>
      <w:r>
        <w:rPr>
          <w:rFonts w:eastAsia="仿宋_GB2312"/>
          <w:sz w:val="32"/>
          <w:szCs w:val="32"/>
          <w:highlight w:val="none"/>
        </w:rPr>
        <w:t>万元，</w:t>
      </w:r>
      <w:r>
        <w:rPr>
          <w:rFonts w:hint="eastAsia" w:eastAsia="仿宋_GB2312"/>
          <w:sz w:val="32"/>
          <w:szCs w:val="32"/>
          <w:highlight w:val="none"/>
          <w:lang w:val="en-US" w:eastAsia="zh-CN"/>
        </w:rPr>
        <w:t xml:space="preserve">与上年相比无变化，主要原因是不存在此项内容。 </w:t>
      </w:r>
    </w:p>
    <w:p>
      <w:pPr>
        <w:pStyle w:val="10"/>
        <w:tabs>
          <w:tab w:val="left" w:pos="1389"/>
          <w:tab w:val="left" w:pos="4911"/>
          <w:tab w:val="left" w:pos="6205"/>
        </w:tabs>
        <w:spacing w:after="0" w:line="600" w:lineRule="exact"/>
        <w:ind w:firstLine="640" w:firstLineChars="200"/>
        <w:rPr>
          <w:rFonts w:eastAsia="仿宋_GB2312"/>
          <w:sz w:val="32"/>
          <w:szCs w:val="32"/>
          <w:highlight w:val="none"/>
        </w:rPr>
      </w:pPr>
      <w:r>
        <w:rPr>
          <w:rFonts w:eastAsia="仿宋_GB2312"/>
          <w:sz w:val="32"/>
          <w:szCs w:val="32"/>
          <w:highlight w:val="none"/>
        </w:rPr>
        <w:t>（8）附属单位上缴收入</w:t>
      </w:r>
      <w:r>
        <w:rPr>
          <w:rFonts w:hint="eastAsia" w:eastAsia="仿宋_GB2312"/>
          <w:sz w:val="32"/>
          <w:szCs w:val="32"/>
          <w:highlight w:val="none"/>
          <w:u w:val="single"/>
          <w:lang w:val="en-US" w:eastAsia="zh-CN"/>
        </w:rPr>
        <w:t>0</w:t>
      </w:r>
      <w:r>
        <w:rPr>
          <w:rFonts w:eastAsia="仿宋_GB2312"/>
          <w:sz w:val="32"/>
          <w:szCs w:val="32"/>
          <w:highlight w:val="none"/>
        </w:rPr>
        <w:t>万元，</w:t>
      </w:r>
      <w:r>
        <w:rPr>
          <w:rFonts w:hint="eastAsia" w:eastAsia="仿宋_GB2312"/>
          <w:sz w:val="32"/>
          <w:szCs w:val="32"/>
          <w:highlight w:val="none"/>
          <w:lang w:val="en-US" w:eastAsia="zh-CN"/>
        </w:rPr>
        <w:t xml:space="preserve">与上年相比无变化，主要原因是不存在此项内容。 </w:t>
      </w:r>
    </w:p>
    <w:p>
      <w:pPr>
        <w:pStyle w:val="10"/>
        <w:tabs>
          <w:tab w:val="left" w:pos="1389"/>
          <w:tab w:val="left" w:pos="4911"/>
          <w:tab w:val="left" w:pos="6205"/>
        </w:tabs>
        <w:spacing w:after="0" w:line="600" w:lineRule="exact"/>
        <w:ind w:firstLine="640" w:firstLineChars="200"/>
        <w:rPr>
          <w:rFonts w:eastAsia="仿宋_GB2312"/>
          <w:sz w:val="32"/>
          <w:szCs w:val="32"/>
          <w:highlight w:val="none"/>
        </w:rPr>
      </w:pPr>
      <w:r>
        <w:rPr>
          <w:rFonts w:eastAsia="仿宋_GB2312"/>
          <w:sz w:val="32"/>
          <w:szCs w:val="32"/>
          <w:highlight w:val="none"/>
        </w:rPr>
        <w:t>（9）其他收入</w:t>
      </w:r>
      <w:r>
        <w:rPr>
          <w:rFonts w:hint="eastAsia" w:eastAsia="仿宋_GB2312"/>
          <w:sz w:val="32"/>
          <w:szCs w:val="32"/>
          <w:highlight w:val="none"/>
          <w:u w:val="single"/>
          <w:lang w:val="en-US" w:eastAsia="zh-CN"/>
        </w:rPr>
        <w:t>0</w:t>
      </w:r>
      <w:r>
        <w:rPr>
          <w:rFonts w:eastAsia="仿宋_GB2312"/>
          <w:sz w:val="32"/>
          <w:szCs w:val="32"/>
          <w:highlight w:val="none"/>
        </w:rPr>
        <w:t>万元，</w:t>
      </w:r>
      <w:r>
        <w:rPr>
          <w:rFonts w:hint="eastAsia" w:eastAsia="仿宋_GB2312"/>
          <w:sz w:val="32"/>
          <w:szCs w:val="32"/>
          <w:highlight w:val="none"/>
          <w:lang w:val="en-US" w:eastAsia="zh-CN"/>
        </w:rPr>
        <w:t xml:space="preserve">与上年相比无变化，主要原因是不存在此项内容。 </w:t>
      </w:r>
    </w:p>
    <w:p>
      <w:pPr>
        <w:pStyle w:val="10"/>
        <w:tabs>
          <w:tab w:val="left" w:pos="3310"/>
          <w:tab w:val="left" w:pos="4280"/>
          <w:tab w:val="left" w:pos="9431"/>
        </w:tabs>
        <w:spacing w:after="0" w:line="600" w:lineRule="exact"/>
        <w:ind w:firstLine="640" w:firstLineChars="200"/>
        <w:rPr>
          <w:rFonts w:eastAsia="仿宋_GB2312"/>
          <w:sz w:val="32"/>
          <w:szCs w:val="32"/>
          <w:highlight w:val="none"/>
        </w:rPr>
      </w:pPr>
      <w:r>
        <w:rPr>
          <w:rFonts w:eastAsia="仿宋_GB2312"/>
          <w:sz w:val="32"/>
          <w:szCs w:val="32"/>
          <w:highlight w:val="none"/>
        </w:rPr>
        <w:t>2．上年结转结余</w:t>
      </w:r>
      <w:r>
        <w:rPr>
          <w:rFonts w:hint="eastAsia" w:eastAsia="仿宋_GB2312"/>
          <w:sz w:val="32"/>
          <w:szCs w:val="32"/>
          <w:highlight w:val="none"/>
          <w:u w:val="single"/>
          <w:lang w:val="en-US" w:eastAsia="zh-CN"/>
        </w:rPr>
        <w:t>0</w:t>
      </w:r>
      <w:r>
        <w:rPr>
          <w:rFonts w:eastAsia="仿宋_GB2312"/>
          <w:sz w:val="32"/>
          <w:szCs w:val="32"/>
          <w:highlight w:val="none"/>
        </w:rPr>
        <w:t>万元。与上年相比</w:t>
      </w:r>
      <w:r>
        <w:rPr>
          <w:rFonts w:hint="eastAsia" w:eastAsia="仿宋_GB2312"/>
          <w:sz w:val="32"/>
          <w:szCs w:val="32"/>
          <w:highlight w:val="none"/>
          <w:lang w:val="en-US" w:eastAsia="zh-CN"/>
        </w:rPr>
        <w:t>无变化</w:t>
      </w:r>
      <w:r>
        <w:rPr>
          <w:rFonts w:eastAsia="仿宋_GB2312"/>
          <w:sz w:val="32"/>
          <w:szCs w:val="32"/>
          <w:highlight w:val="none"/>
        </w:rPr>
        <w:t>。主要原因是</w:t>
      </w:r>
      <w:r>
        <w:rPr>
          <w:rFonts w:hint="eastAsia" w:eastAsia="仿宋_GB2312"/>
          <w:sz w:val="32"/>
          <w:szCs w:val="32"/>
          <w:highlight w:val="none"/>
          <w:lang w:val="en-US" w:eastAsia="zh-CN"/>
        </w:rPr>
        <w:t>不存在此项内容</w:t>
      </w:r>
      <w:r>
        <w:rPr>
          <w:rFonts w:eastAsia="仿宋_GB2312"/>
          <w:sz w:val="32"/>
          <w:szCs w:val="32"/>
          <w:highlight w:val="none"/>
        </w:rPr>
        <w:t>。</w:t>
      </w:r>
    </w:p>
    <w:p>
      <w:pPr>
        <w:pStyle w:val="10"/>
        <w:tabs>
          <w:tab w:val="left" w:pos="4275"/>
        </w:tabs>
        <w:spacing w:after="0" w:line="600" w:lineRule="exact"/>
        <w:ind w:firstLine="643" w:firstLineChars="200"/>
        <w:rPr>
          <w:rFonts w:ascii="楷体" w:hAnsi="楷体" w:eastAsia="楷体" w:cs="楷体"/>
          <w:b/>
          <w:bCs/>
          <w:sz w:val="32"/>
          <w:szCs w:val="32"/>
          <w:highlight w:val="none"/>
        </w:rPr>
      </w:pPr>
      <w:r>
        <w:rPr>
          <w:rFonts w:hint="eastAsia" w:ascii="楷体" w:hAnsi="楷体" w:eastAsia="楷体" w:cs="楷体"/>
          <w:b/>
          <w:bCs/>
          <w:sz w:val="32"/>
          <w:szCs w:val="32"/>
          <w:highlight w:val="none"/>
        </w:rPr>
        <w:t>（二）支出预算总计</w:t>
      </w:r>
      <w:r>
        <w:rPr>
          <w:rFonts w:hint="eastAsia" w:eastAsia="仿宋_GB2312" w:cs="仿宋"/>
          <w:sz w:val="32"/>
          <w:szCs w:val="32"/>
          <w:highlight w:val="none"/>
          <w:u w:val="single"/>
          <w:lang w:val="en-US" w:eastAsia="zh-CN"/>
        </w:rPr>
        <w:t>2293.73</w:t>
      </w:r>
      <w:r>
        <w:rPr>
          <w:rFonts w:hint="eastAsia" w:ascii="楷体" w:hAnsi="楷体" w:eastAsia="楷体" w:cs="楷体"/>
          <w:b/>
          <w:bCs/>
          <w:sz w:val="32"/>
          <w:szCs w:val="32"/>
          <w:highlight w:val="none"/>
        </w:rPr>
        <w:t>万元。包括：</w:t>
      </w:r>
    </w:p>
    <w:p>
      <w:pPr>
        <w:widowControl/>
        <w:snapToGrid w:val="0"/>
        <w:spacing w:line="560" w:lineRule="exact"/>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1.社会保障和就业支出</w:t>
      </w:r>
      <w:r>
        <w:rPr>
          <w:rFonts w:hint="eastAsia" w:ascii="Times New Roman" w:hAnsi="Times New Roman" w:eastAsia="仿宋_GB2312" w:cs="Times New Roman"/>
          <w:kern w:val="2"/>
          <w:sz w:val="32"/>
          <w:szCs w:val="32"/>
          <w:highlight w:val="none"/>
          <w:u w:val="single"/>
          <w:lang w:val="en-US" w:eastAsia="zh-CN" w:bidi="ar-SA"/>
        </w:rPr>
        <w:t>138.29</w:t>
      </w:r>
      <w:r>
        <w:rPr>
          <w:rFonts w:hint="eastAsia" w:ascii="仿宋_GB2312" w:hAnsi="仿宋_GB2312" w:eastAsia="仿宋_GB2312" w:cs="仿宋_GB2312"/>
          <w:sz w:val="32"/>
          <w:szCs w:val="32"/>
          <w:lang w:val="en-US" w:eastAsia="zh-CN"/>
        </w:rPr>
        <w:t>万元，主要用于退休人员项目外部分支出、在编人员养老保险职业年金。比上年预算增加</w:t>
      </w:r>
      <w:r>
        <w:rPr>
          <w:rFonts w:hint="eastAsia" w:ascii="Times New Roman" w:hAnsi="Times New Roman" w:eastAsia="仿宋_GB2312" w:cs="Times New Roman"/>
          <w:kern w:val="2"/>
          <w:sz w:val="32"/>
          <w:szCs w:val="32"/>
          <w:highlight w:val="none"/>
          <w:u w:val="single"/>
          <w:lang w:val="en-US" w:eastAsia="zh-CN" w:bidi="ar-SA"/>
        </w:rPr>
        <w:t>17.73</w:t>
      </w:r>
      <w:r>
        <w:rPr>
          <w:rFonts w:hint="eastAsia" w:ascii="仿宋_GB2312" w:hAnsi="仿宋_GB2312" w:eastAsia="仿宋_GB2312" w:cs="仿宋_GB2312"/>
          <w:sz w:val="32"/>
          <w:szCs w:val="32"/>
          <w:lang w:val="en-US" w:eastAsia="zh-CN"/>
        </w:rPr>
        <w:t>万元，增长</w:t>
      </w:r>
      <w:r>
        <w:rPr>
          <w:rFonts w:hint="eastAsia" w:ascii="Times New Roman" w:hAnsi="Times New Roman" w:eastAsia="仿宋_GB2312" w:cs="Times New Roman"/>
          <w:kern w:val="2"/>
          <w:sz w:val="32"/>
          <w:szCs w:val="32"/>
          <w:highlight w:val="none"/>
          <w:u w:val="single"/>
          <w:lang w:val="en-US" w:eastAsia="zh-CN" w:bidi="ar-SA"/>
        </w:rPr>
        <w:t>14.71</w:t>
      </w:r>
      <w:r>
        <w:rPr>
          <w:rFonts w:hint="eastAsia" w:ascii="仿宋_GB2312" w:hAnsi="仿宋_GB2312" w:eastAsia="仿宋_GB2312" w:cs="仿宋_GB2312"/>
          <w:sz w:val="32"/>
          <w:szCs w:val="32"/>
          <w:lang w:val="en-US" w:eastAsia="zh-CN"/>
        </w:rPr>
        <w:t>%。主要原因是</w:t>
      </w:r>
      <w:r>
        <w:rPr>
          <w:rFonts w:hint="eastAsia" w:ascii="仿宋_GB2312" w:hAnsi="仿宋_GB2312" w:eastAsia="仿宋_GB2312"/>
          <w:sz w:val="32"/>
          <w:szCs w:val="32"/>
          <w:highlight w:val="none"/>
          <w:lang w:eastAsia="zh-CN"/>
        </w:rPr>
        <w:t>在编人员增加</w:t>
      </w:r>
      <w:r>
        <w:rPr>
          <w:rFonts w:hint="eastAsia" w:ascii="仿宋_GB2312" w:hAnsi="仿宋_GB2312" w:eastAsia="仿宋_GB2312" w:cs="仿宋_GB2312"/>
          <w:sz w:val="32"/>
          <w:szCs w:val="32"/>
          <w:lang w:val="en-US" w:eastAsia="zh-CN"/>
        </w:rPr>
        <w:t>。</w:t>
      </w:r>
    </w:p>
    <w:p>
      <w:pPr>
        <w:widowControl/>
        <w:snapToGrid w:val="0"/>
        <w:spacing w:line="560" w:lineRule="exact"/>
        <w:ind w:firstLine="640" w:firstLineChars="200"/>
        <w:jc w:val="left"/>
        <w:rPr>
          <w:rFonts w:eastAsia="仿宋_GB2312"/>
          <w:sz w:val="32"/>
          <w:szCs w:val="32"/>
          <w:highlight w:val="none"/>
        </w:rPr>
      </w:pPr>
      <w:r>
        <w:rPr>
          <w:rFonts w:hint="eastAsia" w:ascii="仿宋_GB2312" w:hAnsi="仿宋_GB2312" w:eastAsia="仿宋_GB2312" w:cs="仿宋_GB2312"/>
          <w:sz w:val="32"/>
          <w:szCs w:val="32"/>
          <w:lang w:val="en-US" w:eastAsia="zh-CN"/>
        </w:rPr>
        <w:t>2.卫生健康支出</w:t>
      </w:r>
      <w:r>
        <w:rPr>
          <w:rFonts w:hint="eastAsia" w:ascii="Times New Roman" w:hAnsi="Times New Roman" w:eastAsia="仿宋_GB2312" w:cs="Times New Roman"/>
          <w:kern w:val="2"/>
          <w:sz w:val="32"/>
          <w:szCs w:val="32"/>
          <w:highlight w:val="none"/>
          <w:u w:val="single"/>
          <w:lang w:val="en-US" w:eastAsia="zh-CN" w:bidi="ar-SA"/>
        </w:rPr>
        <w:t>2095.67</w:t>
      </w:r>
      <w:r>
        <w:rPr>
          <w:rFonts w:hint="eastAsia" w:ascii="仿宋_GB2312" w:hAnsi="仿宋_GB2312" w:eastAsia="仿宋_GB2312" w:cs="仿宋_GB2312"/>
          <w:sz w:val="32"/>
          <w:szCs w:val="32"/>
          <w:lang w:val="en-US" w:eastAsia="zh-CN"/>
        </w:rPr>
        <w:t>万元。主要用于在职人员工资福利支出、机构运转以及对外医疗援助项目资金。与上年相比增加</w:t>
      </w:r>
      <w:r>
        <w:rPr>
          <w:rFonts w:hint="eastAsia" w:ascii="Times New Roman" w:hAnsi="Times New Roman" w:eastAsia="仿宋_GB2312" w:cs="Times New Roman"/>
          <w:kern w:val="2"/>
          <w:sz w:val="32"/>
          <w:szCs w:val="32"/>
          <w:highlight w:val="none"/>
          <w:u w:val="single"/>
          <w:lang w:val="en-US" w:eastAsia="zh-CN" w:bidi="ar-SA"/>
        </w:rPr>
        <w:t>367.36</w:t>
      </w:r>
      <w:r>
        <w:rPr>
          <w:rFonts w:hint="eastAsia" w:ascii="仿宋_GB2312" w:hAnsi="仿宋_GB2312" w:eastAsia="仿宋_GB2312" w:cs="仿宋_GB2312"/>
          <w:sz w:val="32"/>
          <w:szCs w:val="32"/>
          <w:lang w:val="en-US" w:eastAsia="zh-CN"/>
        </w:rPr>
        <w:t>万元，增加</w:t>
      </w:r>
      <w:r>
        <w:rPr>
          <w:rFonts w:hint="eastAsia" w:ascii="Times New Roman" w:hAnsi="Times New Roman" w:eastAsia="仿宋_GB2312" w:cs="Times New Roman"/>
          <w:kern w:val="2"/>
          <w:sz w:val="32"/>
          <w:szCs w:val="32"/>
          <w:highlight w:val="none"/>
          <w:u w:val="single"/>
          <w:lang w:val="en-US" w:eastAsia="zh-CN" w:bidi="ar-SA"/>
        </w:rPr>
        <w:t>21.26</w:t>
      </w:r>
      <w:r>
        <w:rPr>
          <w:rFonts w:hint="eastAsia" w:ascii="仿宋_GB2312" w:hAnsi="仿宋_GB2312" w:eastAsia="仿宋_GB2312" w:cs="仿宋_GB2312"/>
          <w:sz w:val="32"/>
          <w:szCs w:val="32"/>
          <w:lang w:val="en-US" w:eastAsia="zh-CN"/>
        </w:rPr>
        <w:t>%。主要原因是上一年末新增在编人员</w:t>
      </w:r>
      <w:r>
        <w:rPr>
          <w:rFonts w:hint="eastAsia" w:ascii="Times New Roman" w:hAnsi="Times New Roman" w:eastAsia="仿宋_GB2312" w:cs="Times New Roman"/>
          <w:kern w:val="2"/>
          <w:sz w:val="32"/>
          <w:szCs w:val="32"/>
          <w:highlight w:val="none"/>
          <w:u w:val="none"/>
          <w:lang w:val="en-US" w:eastAsia="zh-CN" w:bidi="ar-SA"/>
        </w:rPr>
        <w:t>8</w:t>
      </w:r>
      <w:r>
        <w:rPr>
          <w:rFonts w:hint="eastAsia" w:ascii="仿宋_GB2312" w:hAnsi="仿宋_GB2312" w:eastAsia="仿宋_GB2312" w:cs="仿宋_GB2312"/>
          <w:sz w:val="32"/>
          <w:szCs w:val="32"/>
          <w:lang w:val="en-US" w:eastAsia="zh-CN"/>
        </w:rPr>
        <w:t>人，安置退伍士官</w:t>
      </w:r>
      <w:r>
        <w:rPr>
          <w:rFonts w:hint="eastAsia" w:ascii="Times New Roman" w:hAnsi="Times New Roman" w:eastAsia="仿宋_GB2312" w:cs="Times New Roman"/>
          <w:kern w:val="2"/>
          <w:sz w:val="32"/>
          <w:szCs w:val="32"/>
          <w:highlight w:val="none"/>
          <w:u w:val="none"/>
          <w:lang w:val="en-US" w:eastAsia="zh-CN" w:bidi="ar-SA"/>
        </w:rPr>
        <w:t>3</w:t>
      </w:r>
      <w:r>
        <w:rPr>
          <w:rFonts w:hint="eastAsia" w:ascii="仿宋_GB2312" w:hAnsi="仿宋_GB2312" w:eastAsia="仿宋_GB2312" w:cs="仿宋_GB2312"/>
          <w:sz w:val="32"/>
          <w:szCs w:val="32"/>
          <w:lang w:val="en-US" w:eastAsia="zh-CN"/>
        </w:rPr>
        <w:t>人；同时</w:t>
      </w:r>
      <w:r>
        <w:rPr>
          <w:rFonts w:hint="eastAsia" w:ascii="仿宋_GB2312" w:hAnsi="仿宋_GB2312" w:eastAsia="仿宋_GB2312"/>
          <w:sz w:val="32"/>
          <w:szCs w:val="32"/>
          <w:highlight w:val="none"/>
          <w:lang w:eastAsia="zh-CN"/>
        </w:rPr>
        <w:t>根据工作安排，第</w:t>
      </w:r>
      <w:r>
        <w:rPr>
          <w:rFonts w:hint="eastAsia" w:ascii="Times New Roman" w:hAnsi="Times New Roman" w:eastAsia="仿宋_GB2312" w:cs="Times New Roman"/>
          <w:kern w:val="2"/>
          <w:sz w:val="32"/>
          <w:szCs w:val="32"/>
          <w:highlight w:val="none"/>
          <w:u w:val="none"/>
          <w:lang w:val="en-US" w:eastAsia="zh-CN" w:bidi="ar-SA"/>
        </w:rPr>
        <w:t>26</w:t>
      </w:r>
      <w:r>
        <w:rPr>
          <w:rFonts w:hint="eastAsia" w:ascii="仿宋_GB2312" w:hAnsi="仿宋_GB2312" w:eastAsia="仿宋_GB2312"/>
          <w:sz w:val="32"/>
          <w:szCs w:val="32"/>
          <w:highlight w:val="none"/>
          <w:lang w:val="en-US" w:eastAsia="zh-CN"/>
        </w:rPr>
        <w:t>批援卢医疗队员增派</w:t>
      </w:r>
      <w:r>
        <w:rPr>
          <w:rFonts w:hint="eastAsia" w:ascii="Times New Roman" w:hAnsi="Times New Roman" w:eastAsia="仿宋_GB2312" w:cs="Times New Roman"/>
          <w:kern w:val="2"/>
          <w:sz w:val="32"/>
          <w:szCs w:val="32"/>
          <w:highlight w:val="none"/>
          <w:u w:val="none"/>
          <w:lang w:val="en-US" w:eastAsia="zh-CN" w:bidi="ar-SA"/>
        </w:rPr>
        <w:t>1</w:t>
      </w:r>
      <w:r>
        <w:rPr>
          <w:rFonts w:hint="eastAsia" w:ascii="仿宋_GB2312" w:hAnsi="仿宋_GB2312" w:eastAsia="仿宋_GB2312"/>
          <w:sz w:val="32"/>
          <w:szCs w:val="32"/>
          <w:highlight w:val="none"/>
          <w:lang w:val="en-US" w:eastAsia="zh-CN"/>
        </w:rPr>
        <w:t>名专职队长、</w:t>
      </w:r>
      <w:r>
        <w:rPr>
          <w:rFonts w:hint="eastAsia" w:ascii="Times New Roman" w:hAnsi="Times New Roman" w:eastAsia="仿宋_GB2312" w:cs="Times New Roman"/>
          <w:kern w:val="2"/>
          <w:sz w:val="32"/>
          <w:szCs w:val="32"/>
          <w:highlight w:val="none"/>
          <w:u w:val="none"/>
          <w:lang w:val="en-US" w:eastAsia="zh-CN" w:bidi="ar-SA"/>
        </w:rPr>
        <w:t>3</w:t>
      </w:r>
      <w:r>
        <w:rPr>
          <w:rFonts w:hint="eastAsia" w:ascii="仿宋_GB2312" w:hAnsi="仿宋_GB2312" w:eastAsia="仿宋_GB2312"/>
          <w:sz w:val="32"/>
          <w:szCs w:val="32"/>
          <w:highlight w:val="none"/>
          <w:lang w:val="en-US" w:eastAsia="zh-CN"/>
        </w:rPr>
        <w:t>名中医队员，</w:t>
      </w:r>
      <w:r>
        <w:rPr>
          <w:rFonts w:hint="eastAsia" w:ascii="仿宋_GB2312" w:hAnsi="仿宋_GB2312" w:eastAsia="仿宋_GB2312" w:cs="仿宋_GB2312"/>
          <w:sz w:val="32"/>
          <w:szCs w:val="32"/>
          <w:lang w:val="en-US" w:eastAsia="zh-CN"/>
        </w:rPr>
        <w:t>所需工作经费也随之增长</w:t>
      </w:r>
      <w:r>
        <w:rPr>
          <w:rFonts w:eastAsia="仿宋_GB2312"/>
          <w:sz w:val="32"/>
          <w:szCs w:val="32"/>
          <w:highlight w:val="none"/>
        </w:rPr>
        <w:t>。</w:t>
      </w:r>
    </w:p>
    <w:p>
      <w:pPr>
        <w:widowControl/>
        <w:snapToGrid w:val="0"/>
        <w:spacing w:line="560" w:lineRule="exact"/>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3.住房保障支出</w:t>
      </w:r>
      <w:r>
        <w:rPr>
          <w:rFonts w:hint="eastAsia" w:ascii="Times New Roman" w:hAnsi="Times New Roman" w:eastAsia="仿宋_GB2312" w:cs="Times New Roman"/>
          <w:kern w:val="2"/>
          <w:sz w:val="32"/>
          <w:szCs w:val="32"/>
          <w:highlight w:val="none"/>
          <w:u w:val="single"/>
          <w:lang w:val="en-US" w:eastAsia="zh-CN" w:bidi="ar-SA"/>
        </w:rPr>
        <w:t>59.76</w:t>
      </w:r>
      <w:r>
        <w:rPr>
          <w:rFonts w:hint="eastAsia" w:ascii="仿宋_GB2312" w:hAnsi="仿宋_GB2312" w:eastAsia="仿宋_GB2312" w:cs="仿宋_GB2312"/>
          <w:sz w:val="32"/>
          <w:szCs w:val="32"/>
          <w:lang w:val="en-US" w:eastAsia="zh-CN"/>
        </w:rPr>
        <w:t>万元。主要用于人员住房公积金支出。比上年预算增加</w:t>
      </w:r>
      <w:r>
        <w:rPr>
          <w:rFonts w:hint="eastAsia" w:ascii="Times New Roman" w:hAnsi="Times New Roman" w:eastAsia="仿宋_GB2312" w:cs="Times New Roman"/>
          <w:kern w:val="2"/>
          <w:sz w:val="32"/>
          <w:szCs w:val="32"/>
          <w:highlight w:val="none"/>
          <w:u w:val="single"/>
          <w:lang w:val="en-US" w:eastAsia="zh-CN" w:bidi="ar-SA"/>
        </w:rPr>
        <w:t>9.18</w:t>
      </w:r>
      <w:r>
        <w:rPr>
          <w:rFonts w:hint="eastAsia" w:ascii="仿宋_GB2312" w:hAnsi="仿宋_GB2312" w:eastAsia="仿宋_GB2312" w:cs="仿宋_GB2312"/>
          <w:sz w:val="32"/>
          <w:szCs w:val="32"/>
          <w:lang w:val="en-US" w:eastAsia="zh-CN"/>
        </w:rPr>
        <w:t>万元，增长</w:t>
      </w:r>
      <w:r>
        <w:rPr>
          <w:rFonts w:hint="eastAsia" w:ascii="Times New Roman" w:hAnsi="Times New Roman" w:eastAsia="仿宋_GB2312" w:cs="Times New Roman"/>
          <w:kern w:val="2"/>
          <w:sz w:val="32"/>
          <w:szCs w:val="32"/>
          <w:highlight w:val="none"/>
          <w:u w:val="single"/>
          <w:lang w:val="en-US" w:eastAsia="zh-CN" w:bidi="ar-SA"/>
        </w:rPr>
        <w:t>18.15</w:t>
      </w:r>
      <w:r>
        <w:rPr>
          <w:rFonts w:hint="eastAsia" w:ascii="仿宋_GB2312" w:hAnsi="仿宋_GB2312" w:eastAsia="仿宋_GB2312" w:cs="仿宋_GB2312"/>
          <w:sz w:val="32"/>
          <w:szCs w:val="32"/>
          <w:lang w:val="en-US" w:eastAsia="zh-CN"/>
        </w:rPr>
        <w:t>%。主要原因是</w:t>
      </w:r>
      <w:r>
        <w:rPr>
          <w:rFonts w:hint="eastAsia" w:ascii="仿宋_GB2312" w:hAnsi="仿宋_GB2312" w:eastAsia="仿宋_GB2312"/>
          <w:sz w:val="32"/>
          <w:szCs w:val="32"/>
          <w:highlight w:val="none"/>
          <w:lang w:eastAsia="zh-CN"/>
        </w:rPr>
        <w:t>在编人员增加</w:t>
      </w:r>
      <w:r>
        <w:rPr>
          <w:rFonts w:hint="eastAsia" w:ascii="仿宋_GB2312" w:hAnsi="仿宋_GB2312" w:eastAsia="仿宋_GB2312" w:cs="仿宋_GB2312"/>
          <w:sz w:val="32"/>
          <w:szCs w:val="32"/>
          <w:lang w:val="en-US" w:eastAsia="zh-CN"/>
        </w:rPr>
        <w:t>。</w:t>
      </w:r>
    </w:p>
    <w:p>
      <w:pPr>
        <w:spacing w:line="600" w:lineRule="exact"/>
        <w:ind w:left="0" w:leftChars="0" w:firstLine="640" w:firstLineChars="200"/>
        <w:outlineLvl w:val="2"/>
        <w:rPr>
          <w:rFonts w:ascii="Times New Roman" w:hAnsi="Times New Roman" w:eastAsia="仿宋_GB2312" w:cs="仿宋"/>
          <w:sz w:val="32"/>
          <w:szCs w:val="32"/>
          <w:highlight w:val="none"/>
        </w:rPr>
      </w:pPr>
      <w:r>
        <w:rPr>
          <w:rFonts w:hint="eastAsia" w:eastAsia="黑体" w:cs="黑体"/>
          <w:sz w:val="32"/>
          <w:szCs w:val="36"/>
          <w:highlight w:val="none"/>
        </w:rPr>
        <w:t>二、收入预算情况说明</w:t>
      </w:r>
    </w:p>
    <w:p>
      <w:pPr>
        <w:pStyle w:val="10"/>
        <w:tabs>
          <w:tab w:val="left" w:pos="2671"/>
          <w:tab w:val="left" w:pos="5000"/>
          <w:tab w:val="left" w:pos="6190"/>
        </w:tabs>
        <w:spacing w:after="0" w:line="600" w:lineRule="exact"/>
        <w:ind w:firstLine="640" w:firstLineChars="200"/>
        <w:rPr>
          <w:rFonts w:eastAsia="仿宋_GB2312"/>
          <w:sz w:val="32"/>
          <w:szCs w:val="32"/>
          <w:highlight w:val="none"/>
        </w:rPr>
      </w:pPr>
      <w:r>
        <w:rPr>
          <w:rFonts w:hint="eastAsia" w:ascii="仿宋_GB2312" w:hAnsi="仿宋_GB2312" w:eastAsia="仿宋_GB2312" w:cs="仿宋_GB2312"/>
          <w:snapToGrid w:val="0"/>
          <w:color w:val="000000"/>
          <w:kern w:val="0"/>
          <w:sz w:val="32"/>
          <w:szCs w:val="32"/>
          <w:lang w:val="en-US" w:eastAsia="zh-CN" w:bidi="ar-SA"/>
        </w:rPr>
        <w:t>内蒙古自治区卫生健康委员会综合保障中心</w:t>
      </w:r>
      <w:r>
        <w:rPr>
          <w:rFonts w:hint="eastAsia" w:ascii="仿宋_GB2312" w:hAnsi="仿宋_GB2312" w:eastAsia="仿宋_GB2312" w:cs="仿宋"/>
          <w:sz w:val="32"/>
          <w:szCs w:val="32"/>
          <w:highlight w:val="none"/>
          <w:lang w:val="en-US" w:eastAsia="zh-CN"/>
        </w:rPr>
        <w:t>2026</w:t>
      </w:r>
      <w:r>
        <w:rPr>
          <w:rFonts w:hint="eastAsia" w:ascii="仿宋_GB2312" w:hAnsi="仿宋_GB2312" w:eastAsia="仿宋_GB2312" w:cs="仿宋_GB2312"/>
          <w:sz w:val="32"/>
          <w:szCs w:val="32"/>
          <w:highlight w:val="none"/>
        </w:rPr>
        <w:t>年度</w:t>
      </w:r>
      <w:r>
        <w:rPr>
          <w:rFonts w:eastAsia="仿宋_GB2312"/>
          <w:sz w:val="32"/>
          <w:szCs w:val="32"/>
          <w:highlight w:val="none"/>
        </w:rPr>
        <w:t>收入预算</w:t>
      </w:r>
      <w:r>
        <w:rPr>
          <w:rFonts w:hint="eastAsia" w:eastAsia="仿宋_GB2312"/>
          <w:sz w:val="32"/>
          <w:szCs w:val="32"/>
          <w:highlight w:val="none"/>
          <w:lang w:val="en-US" w:eastAsia="zh-CN"/>
        </w:rPr>
        <w:t>总</w:t>
      </w:r>
      <w:r>
        <w:rPr>
          <w:rFonts w:eastAsia="仿宋_GB2312"/>
          <w:sz w:val="32"/>
          <w:szCs w:val="32"/>
          <w:highlight w:val="none"/>
        </w:rPr>
        <w:t>计</w:t>
      </w:r>
      <w:r>
        <w:rPr>
          <w:rFonts w:hint="eastAsia" w:ascii="Times New Roman" w:hAnsi="Times New Roman" w:eastAsia="仿宋_GB2312" w:cs="Times New Roman"/>
          <w:kern w:val="2"/>
          <w:sz w:val="32"/>
          <w:szCs w:val="32"/>
          <w:highlight w:val="none"/>
          <w:u w:val="single"/>
          <w:lang w:val="en-US" w:eastAsia="zh-CN" w:bidi="ar-SA"/>
        </w:rPr>
        <w:t>2293.73</w:t>
      </w:r>
      <w:r>
        <w:rPr>
          <w:rFonts w:eastAsia="仿宋_GB2312"/>
          <w:sz w:val="32"/>
          <w:szCs w:val="32"/>
          <w:highlight w:val="none"/>
        </w:rPr>
        <w:t>万元，包括本年收入</w:t>
      </w:r>
      <w:r>
        <w:rPr>
          <w:rFonts w:hint="eastAsia" w:ascii="Times New Roman" w:hAnsi="Times New Roman" w:eastAsia="仿宋_GB2312" w:cs="Times New Roman"/>
          <w:kern w:val="2"/>
          <w:sz w:val="32"/>
          <w:szCs w:val="32"/>
          <w:highlight w:val="none"/>
          <w:u w:val="single"/>
          <w:lang w:val="en-US" w:eastAsia="zh-CN" w:bidi="ar-SA"/>
        </w:rPr>
        <w:t>2293.73</w:t>
      </w:r>
      <w:r>
        <w:rPr>
          <w:rFonts w:eastAsia="仿宋_GB2312"/>
          <w:sz w:val="32"/>
          <w:szCs w:val="32"/>
          <w:highlight w:val="none"/>
        </w:rPr>
        <w:t>万元，上年结转结余</w:t>
      </w:r>
      <w:r>
        <w:rPr>
          <w:rFonts w:hint="eastAsia" w:eastAsia="仿宋_GB2312"/>
          <w:sz w:val="32"/>
          <w:szCs w:val="32"/>
          <w:highlight w:val="none"/>
          <w:u w:val="single"/>
          <w:lang w:val="en-US" w:eastAsia="zh-CN"/>
        </w:rPr>
        <w:t>0</w:t>
      </w:r>
      <w:r>
        <w:rPr>
          <w:rFonts w:eastAsia="仿宋_GB2312"/>
          <w:sz w:val="32"/>
          <w:szCs w:val="32"/>
          <w:highlight w:val="none"/>
        </w:rPr>
        <w:t>万元。其中：</w:t>
      </w:r>
    </w:p>
    <w:p>
      <w:pPr>
        <w:pStyle w:val="10"/>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本年一般公共预算收入</w:t>
      </w:r>
      <w:r>
        <w:rPr>
          <w:rFonts w:hint="eastAsia" w:eastAsia="仿宋_GB2312"/>
          <w:sz w:val="32"/>
          <w:szCs w:val="32"/>
          <w:highlight w:val="none"/>
          <w:u w:val="single"/>
          <w:lang w:val="en-US" w:eastAsia="zh-CN"/>
        </w:rPr>
        <w:t>1122.20</w:t>
      </w:r>
      <w:r>
        <w:rPr>
          <w:rFonts w:eastAsia="仿宋_GB2312"/>
          <w:sz w:val="32"/>
          <w:szCs w:val="32"/>
          <w:highlight w:val="none"/>
        </w:rPr>
        <w:t>万元，占</w:t>
      </w:r>
      <w:r>
        <w:rPr>
          <w:rFonts w:hint="eastAsia" w:eastAsia="仿宋_GB2312"/>
          <w:sz w:val="32"/>
          <w:szCs w:val="32"/>
          <w:highlight w:val="none"/>
          <w:u w:val="single"/>
          <w:lang w:val="en-US" w:eastAsia="zh-CN"/>
        </w:rPr>
        <w:t>48.93</w:t>
      </w:r>
      <w:r>
        <w:rPr>
          <w:rFonts w:hint="eastAsia" w:ascii="仿宋_GB2312" w:hAnsi="仿宋_GB2312" w:eastAsia="仿宋_GB2312"/>
          <w:sz w:val="32"/>
          <w:szCs w:val="32"/>
          <w:highlight w:val="none"/>
          <w:lang w:eastAsia="zh-CN"/>
        </w:rPr>
        <w:t>%</w:t>
      </w:r>
      <w:r>
        <w:rPr>
          <w:rFonts w:eastAsia="仿宋_GB2312"/>
          <w:sz w:val="32"/>
          <w:szCs w:val="32"/>
          <w:highlight w:val="none"/>
        </w:rPr>
        <w:t>；</w:t>
      </w:r>
    </w:p>
    <w:p>
      <w:pPr>
        <w:pStyle w:val="10"/>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本年政府性基金预算收入</w:t>
      </w:r>
      <w:r>
        <w:rPr>
          <w:rFonts w:hint="eastAsia" w:eastAsia="仿宋_GB2312"/>
          <w:sz w:val="32"/>
          <w:szCs w:val="32"/>
          <w:highlight w:val="none"/>
          <w:u w:val="single"/>
          <w:lang w:val="en-US" w:eastAsia="zh-CN"/>
        </w:rPr>
        <w:t>0</w:t>
      </w:r>
      <w:r>
        <w:rPr>
          <w:rFonts w:eastAsia="仿宋_GB2312"/>
          <w:sz w:val="32"/>
          <w:szCs w:val="32"/>
          <w:highlight w:val="none"/>
        </w:rPr>
        <w:t>万元，占</w:t>
      </w:r>
      <w:r>
        <w:rPr>
          <w:rFonts w:hint="eastAsia" w:eastAsia="仿宋_GB2312"/>
          <w:sz w:val="32"/>
          <w:szCs w:val="32"/>
          <w:highlight w:val="none"/>
          <w:u w:val="single"/>
          <w:lang w:val="en-US" w:eastAsia="zh-CN"/>
        </w:rPr>
        <w:t>0</w:t>
      </w:r>
      <w:r>
        <w:rPr>
          <w:rFonts w:hint="eastAsia" w:ascii="仿宋_GB2312" w:hAnsi="仿宋_GB2312" w:eastAsia="仿宋_GB2312"/>
          <w:sz w:val="32"/>
          <w:szCs w:val="32"/>
          <w:highlight w:val="none"/>
          <w:lang w:eastAsia="zh-CN"/>
        </w:rPr>
        <w:t>%</w:t>
      </w:r>
      <w:r>
        <w:rPr>
          <w:rFonts w:eastAsia="仿宋_GB2312"/>
          <w:sz w:val="32"/>
          <w:szCs w:val="32"/>
          <w:highlight w:val="none"/>
        </w:rPr>
        <w:t>；</w:t>
      </w:r>
    </w:p>
    <w:p>
      <w:pPr>
        <w:pStyle w:val="10"/>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本年国有资本经营预算收入</w:t>
      </w:r>
      <w:r>
        <w:rPr>
          <w:rFonts w:hint="eastAsia" w:eastAsia="仿宋_GB2312"/>
          <w:sz w:val="32"/>
          <w:szCs w:val="32"/>
          <w:highlight w:val="none"/>
          <w:u w:val="single"/>
          <w:lang w:val="en-US" w:eastAsia="zh-CN"/>
        </w:rPr>
        <w:t>0</w:t>
      </w:r>
      <w:r>
        <w:rPr>
          <w:rFonts w:eastAsia="仿宋_GB2312"/>
          <w:sz w:val="32"/>
          <w:szCs w:val="32"/>
          <w:highlight w:val="none"/>
        </w:rPr>
        <w:t>万元，占</w:t>
      </w:r>
      <w:r>
        <w:rPr>
          <w:rFonts w:hint="eastAsia" w:eastAsia="仿宋_GB2312"/>
          <w:sz w:val="32"/>
          <w:szCs w:val="32"/>
          <w:highlight w:val="none"/>
          <w:u w:val="single"/>
          <w:lang w:val="en-US" w:eastAsia="zh-CN"/>
        </w:rPr>
        <w:t>0</w:t>
      </w:r>
      <w:r>
        <w:rPr>
          <w:rFonts w:hint="eastAsia" w:ascii="仿宋_GB2312" w:hAnsi="仿宋_GB2312" w:eastAsia="仿宋_GB2312"/>
          <w:sz w:val="32"/>
          <w:szCs w:val="32"/>
          <w:highlight w:val="none"/>
          <w:lang w:eastAsia="zh-CN"/>
        </w:rPr>
        <w:t>%</w:t>
      </w:r>
      <w:r>
        <w:rPr>
          <w:rFonts w:eastAsia="仿宋_GB2312"/>
          <w:sz w:val="32"/>
          <w:szCs w:val="32"/>
          <w:highlight w:val="none"/>
        </w:rPr>
        <w:t>；</w:t>
      </w:r>
    </w:p>
    <w:p>
      <w:pPr>
        <w:pStyle w:val="10"/>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本年财政专户管理资金</w:t>
      </w:r>
      <w:r>
        <w:rPr>
          <w:rFonts w:hint="eastAsia" w:eastAsia="仿宋_GB2312"/>
          <w:sz w:val="32"/>
          <w:szCs w:val="32"/>
          <w:highlight w:val="none"/>
          <w:u w:val="single"/>
          <w:lang w:val="en-US" w:eastAsia="zh-CN"/>
        </w:rPr>
        <w:t>0</w:t>
      </w:r>
      <w:r>
        <w:rPr>
          <w:rFonts w:eastAsia="仿宋_GB2312"/>
          <w:sz w:val="32"/>
          <w:szCs w:val="32"/>
          <w:highlight w:val="none"/>
        </w:rPr>
        <w:t>万元，占</w:t>
      </w:r>
      <w:r>
        <w:rPr>
          <w:rFonts w:hint="eastAsia" w:eastAsia="仿宋_GB2312"/>
          <w:sz w:val="32"/>
          <w:szCs w:val="32"/>
          <w:highlight w:val="none"/>
          <w:u w:val="single"/>
          <w:lang w:val="en-US" w:eastAsia="zh-CN"/>
        </w:rPr>
        <w:t>0</w:t>
      </w:r>
      <w:r>
        <w:rPr>
          <w:rFonts w:hint="eastAsia" w:ascii="仿宋_GB2312" w:hAnsi="仿宋_GB2312" w:eastAsia="仿宋_GB2312"/>
          <w:sz w:val="32"/>
          <w:szCs w:val="32"/>
          <w:highlight w:val="none"/>
          <w:lang w:eastAsia="zh-CN"/>
        </w:rPr>
        <w:t>%</w:t>
      </w:r>
      <w:r>
        <w:rPr>
          <w:rFonts w:eastAsia="仿宋_GB2312"/>
          <w:sz w:val="32"/>
          <w:szCs w:val="32"/>
          <w:highlight w:val="none"/>
        </w:rPr>
        <w:t>；</w:t>
      </w:r>
    </w:p>
    <w:p>
      <w:pPr>
        <w:pStyle w:val="10"/>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本年事业收入</w:t>
      </w:r>
      <w:r>
        <w:rPr>
          <w:rFonts w:hint="eastAsia" w:eastAsia="仿宋_GB2312"/>
          <w:sz w:val="32"/>
          <w:szCs w:val="32"/>
          <w:highlight w:val="none"/>
          <w:u w:val="single"/>
          <w:lang w:val="en-US" w:eastAsia="zh-CN"/>
        </w:rPr>
        <w:t>1171.53</w:t>
      </w:r>
      <w:r>
        <w:rPr>
          <w:rFonts w:eastAsia="仿宋_GB2312"/>
          <w:sz w:val="32"/>
          <w:szCs w:val="32"/>
          <w:highlight w:val="none"/>
        </w:rPr>
        <w:t>万元，占</w:t>
      </w:r>
      <w:r>
        <w:rPr>
          <w:rFonts w:hint="eastAsia" w:eastAsia="仿宋_GB2312"/>
          <w:sz w:val="32"/>
          <w:szCs w:val="32"/>
          <w:highlight w:val="none"/>
          <w:u w:val="single"/>
          <w:lang w:val="en-US" w:eastAsia="zh-CN"/>
        </w:rPr>
        <w:t>51.07</w:t>
      </w:r>
      <w:r>
        <w:rPr>
          <w:rFonts w:hint="eastAsia" w:ascii="仿宋_GB2312" w:hAnsi="仿宋_GB2312" w:eastAsia="仿宋_GB2312"/>
          <w:sz w:val="32"/>
          <w:szCs w:val="32"/>
          <w:highlight w:val="none"/>
          <w:lang w:eastAsia="zh-CN"/>
        </w:rPr>
        <w:t>%</w:t>
      </w:r>
      <w:r>
        <w:rPr>
          <w:rFonts w:eastAsia="仿宋_GB2312"/>
          <w:sz w:val="32"/>
          <w:szCs w:val="32"/>
          <w:highlight w:val="none"/>
        </w:rPr>
        <w:t>；</w:t>
      </w:r>
    </w:p>
    <w:p>
      <w:pPr>
        <w:pStyle w:val="10"/>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本年事业单位经营收入</w:t>
      </w:r>
      <w:r>
        <w:rPr>
          <w:rFonts w:hint="eastAsia" w:eastAsia="仿宋_GB2312"/>
          <w:sz w:val="32"/>
          <w:szCs w:val="32"/>
          <w:highlight w:val="none"/>
          <w:u w:val="single"/>
          <w:lang w:val="en-US" w:eastAsia="zh-CN"/>
        </w:rPr>
        <w:t>0</w:t>
      </w:r>
      <w:r>
        <w:rPr>
          <w:rFonts w:eastAsia="仿宋_GB2312"/>
          <w:sz w:val="32"/>
          <w:szCs w:val="32"/>
          <w:highlight w:val="none"/>
        </w:rPr>
        <w:t>万元，占</w:t>
      </w:r>
      <w:r>
        <w:rPr>
          <w:rFonts w:hint="eastAsia" w:eastAsia="仿宋_GB2312"/>
          <w:sz w:val="32"/>
          <w:szCs w:val="32"/>
          <w:highlight w:val="none"/>
          <w:u w:val="single"/>
          <w:lang w:val="en-US" w:eastAsia="zh-CN"/>
        </w:rPr>
        <w:t>0</w:t>
      </w:r>
      <w:r>
        <w:rPr>
          <w:rFonts w:hint="eastAsia" w:ascii="仿宋_GB2312" w:hAnsi="仿宋_GB2312" w:eastAsia="仿宋_GB2312"/>
          <w:sz w:val="32"/>
          <w:szCs w:val="32"/>
          <w:highlight w:val="none"/>
          <w:lang w:eastAsia="zh-CN"/>
        </w:rPr>
        <w:t>%</w:t>
      </w:r>
      <w:r>
        <w:rPr>
          <w:rFonts w:eastAsia="仿宋_GB2312"/>
          <w:sz w:val="32"/>
          <w:szCs w:val="32"/>
          <w:highlight w:val="none"/>
        </w:rPr>
        <w:t>；</w:t>
      </w:r>
    </w:p>
    <w:p>
      <w:pPr>
        <w:pStyle w:val="10"/>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本年上级补助收入</w:t>
      </w:r>
      <w:r>
        <w:rPr>
          <w:rFonts w:hint="eastAsia" w:eastAsia="仿宋_GB2312"/>
          <w:sz w:val="32"/>
          <w:szCs w:val="32"/>
          <w:highlight w:val="none"/>
          <w:u w:val="single"/>
          <w:lang w:val="en-US" w:eastAsia="zh-CN"/>
        </w:rPr>
        <w:t>0</w:t>
      </w:r>
      <w:r>
        <w:rPr>
          <w:rFonts w:eastAsia="仿宋_GB2312"/>
          <w:sz w:val="32"/>
          <w:szCs w:val="32"/>
          <w:highlight w:val="none"/>
        </w:rPr>
        <w:t>万元，占</w:t>
      </w:r>
      <w:r>
        <w:rPr>
          <w:rFonts w:hint="eastAsia" w:eastAsia="仿宋_GB2312"/>
          <w:sz w:val="32"/>
          <w:szCs w:val="32"/>
          <w:highlight w:val="none"/>
          <w:u w:val="single"/>
          <w:lang w:val="en-US" w:eastAsia="zh-CN"/>
        </w:rPr>
        <w:t>0</w:t>
      </w:r>
      <w:r>
        <w:rPr>
          <w:rFonts w:hint="eastAsia" w:ascii="仿宋_GB2312" w:hAnsi="仿宋_GB2312" w:eastAsia="仿宋_GB2312"/>
          <w:sz w:val="32"/>
          <w:szCs w:val="32"/>
          <w:highlight w:val="none"/>
          <w:lang w:eastAsia="zh-CN"/>
        </w:rPr>
        <w:t>%</w:t>
      </w:r>
      <w:r>
        <w:rPr>
          <w:rFonts w:eastAsia="仿宋_GB2312"/>
          <w:sz w:val="32"/>
          <w:szCs w:val="32"/>
          <w:highlight w:val="none"/>
        </w:rPr>
        <w:t>；</w:t>
      </w:r>
    </w:p>
    <w:p>
      <w:pPr>
        <w:pStyle w:val="10"/>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本年附属单位上缴收入</w:t>
      </w:r>
      <w:r>
        <w:rPr>
          <w:rFonts w:hint="eastAsia" w:eastAsia="仿宋_GB2312"/>
          <w:sz w:val="32"/>
          <w:szCs w:val="32"/>
          <w:highlight w:val="none"/>
          <w:u w:val="single"/>
          <w:lang w:val="en-US" w:eastAsia="zh-CN"/>
        </w:rPr>
        <w:t>0</w:t>
      </w:r>
      <w:r>
        <w:rPr>
          <w:rFonts w:eastAsia="仿宋_GB2312"/>
          <w:sz w:val="32"/>
          <w:szCs w:val="32"/>
          <w:highlight w:val="none"/>
        </w:rPr>
        <w:t>万元，占</w:t>
      </w:r>
      <w:r>
        <w:rPr>
          <w:rFonts w:hint="eastAsia" w:eastAsia="仿宋_GB2312"/>
          <w:sz w:val="32"/>
          <w:szCs w:val="32"/>
          <w:highlight w:val="none"/>
          <w:u w:val="single"/>
          <w:lang w:val="en-US" w:eastAsia="zh-CN"/>
        </w:rPr>
        <w:t>0</w:t>
      </w:r>
      <w:r>
        <w:rPr>
          <w:rFonts w:hint="eastAsia" w:ascii="仿宋_GB2312" w:hAnsi="仿宋_GB2312" w:eastAsia="仿宋_GB2312"/>
          <w:sz w:val="32"/>
          <w:szCs w:val="32"/>
          <w:highlight w:val="none"/>
          <w:lang w:eastAsia="zh-CN"/>
        </w:rPr>
        <w:t>%</w:t>
      </w:r>
      <w:r>
        <w:rPr>
          <w:rFonts w:eastAsia="仿宋_GB2312"/>
          <w:sz w:val="32"/>
          <w:szCs w:val="32"/>
          <w:highlight w:val="none"/>
        </w:rPr>
        <w:t>；</w:t>
      </w:r>
    </w:p>
    <w:p>
      <w:pPr>
        <w:pStyle w:val="10"/>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本年其他收入</w:t>
      </w:r>
      <w:r>
        <w:rPr>
          <w:rFonts w:hint="eastAsia" w:eastAsia="仿宋_GB2312"/>
          <w:sz w:val="32"/>
          <w:szCs w:val="32"/>
          <w:highlight w:val="none"/>
          <w:u w:val="single"/>
          <w:lang w:val="en-US" w:eastAsia="zh-CN"/>
        </w:rPr>
        <w:t>0</w:t>
      </w:r>
      <w:r>
        <w:rPr>
          <w:rFonts w:eastAsia="仿宋_GB2312"/>
          <w:sz w:val="32"/>
          <w:szCs w:val="32"/>
          <w:highlight w:val="none"/>
        </w:rPr>
        <w:t>万元，占</w:t>
      </w:r>
      <w:r>
        <w:rPr>
          <w:rFonts w:hint="eastAsia" w:eastAsia="仿宋_GB2312"/>
          <w:sz w:val="32"/>
          <w:szCs w:val="32"/>
          <w:highlight w:val="none"/>
          <w:u w:val="single"/>
          <w:lang w:val="en-US" w:eastAsia="zh-CN"/>
        </w:rPr>
        <w:t>0</w:t>
      </w:r>
      <w:r>
        <w:rPr>
          <w:rFonts w:hint="eastAsia" w:ascii="仿宋_GB2312" w:hAnsi="仿宋_GB2312" w:eastAsia="仿宋_GB2312"/>
          <w:sz w:val="32"/>
          <w:szCs w:val="32"/>
          <w:highlight w:val="none"/>
          <w:lang w:eastAsia="zh-CN"/>
        </w:rPr>
        <w:t>%</w:t>
      </w:r>
      <w:r>
        <w:rPr>
          <w:rFonts w:eastAsia="仿宋_GB2312"/>
          <w:sz w:val="32"/>
          <w:szCs w:val="32"/>
          <w:highlight w:val="none"/>
        </w:rPr>
        <w:t>；</w:t>
      </w:r>
    </w:p>
    <w:p>
      <w:pPr>
        <w:pStyle w:val="10"/>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上年结转结余的一般公共预算收入</w:t>
      </w:r>
      <w:r>
        <w:rPr>
          <w:rFonts w:hint="eastAsia" w:eastAsia="仿宋_GB2312"/>
          <w:sz w:val="32"/>
          <w:szCs w:val="32"/>
          <w:highlight w:val="none"/>
          <w:u w:val="single"/>
          <w:lang w:val="en-US" w:eastAsia="zh-CN"/>
        </w:rPr>
        <w:t>0</w:t>
      </w:r>
      <w:r>
        <w:rPr>
          <w:rFonts w:eastAsia="仿宋_GB2312"/>
          <w:sz w:val="32"/>
          <w:szCs w:val="32"/>
          <w:highlight w:val="none"/>
        </w:rPr>
        <w:t>万元，占</w:t>
      </w:r>
      <w:r>
        <w:rPr>
          <w:rFonts w:hint="eastAsia" w:eastAsia="仿宋_GB2312"/>
          <w:sz w:val="32"/>
          <w:szCs w:val="32"/>
          <w:highlight w:val="none"/>
          <w:u w:val="single"/>
          <w:lang w:val="en-US" w:eastAsia="zh-CN"/>
        </w:rPr>
        <w:t>0</w:t>
      </w:r>
      <w:r>
        <w:rPr>
          <w:rFonts w:hint="eastAsia" w:ascii="仿宋_GB2312" w:hAnsi="仿宋_GB2312" w:eastAsia="仿宋_GB2312"/>
          <w:sz w:val="32"/>
          <w:szCs w:val="32"/>
          <w:highlight w:val="none"/>
          <w:lang w:eastAsia="zh-CN"/>
        </w:rPr>
        <w:t>%</w:t>
      </w:r>
      <w:r>
        <w:rPr>
          <w:rFonts w:eastAsia="仿宋_GB2312"/>
          <w:sz w:val="32"/>
          <w:szCs w:val="32"/>
          <w:highlight w:val="none"/>
        </w:rPr>
        <w:t>；</w:t>
      </w:r>
    </w:p>
    <w:p>
      <w:pPr>
        <w:pStyle w:val="10"/>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上年结转结余的政府性基金预算收入</w:t>
      </w:r>
      <w:r>
        <w:rPr>
          <w:rFonts w:hint="eastAsia" w:eastAsia="仿宋_GB2312"/>
          <w:sz w:val="32"/>
          <w:szCs w:val="32"/>
          <w:highlight w:val="none"/>
          <w:u w:val="single"/>
          <w:lang w:val="en-US" w:eastAsia="zh-CN"/>
        </w:rPr>
        <w:t>0</w:t>
      </w:r>
      <w:r>
        <w:rPr>
          <w:rFonts w:eastAsia="仿宋_GB2312"/>
          <w:sz w:val="32"/>
          <w:szCs w:val="32"/>
          <w:highlight w:val="none"/>
        </w:rPr>
        <w:t>万元，占</w:t>
      </w:r>
      <w:r>
        <w:rPr>
          <w:rFonts w:hint="eastAsia" w:eastAsia="仿宋_GB2312"/>
          <w:sz w:val="32"/>
          <w:szCs w:val="32"/>
          <w:highlight w:val="none"/>
          <w:u w:val="single"/>
          <w:lang w:val="en-US" w:eastAsia="zh-CN"/>
        </w:rPr>
        <w:t>0</w:t>
      </w:r>
      <w:r>
        <w:rPr>
          <w:rFonts w:hint="eastAsia" w:ascii="仿宋_GB2312" w:hAnsi="仿宋_GB2312" w:eastAsia="仿宋_GB2312"/>
          <w:sz w:val="32"/>
          <w:szCs w:val="32"/>
          <w:highlight w:val="none"/>
          <w:lang w:eastAsia="zh-CN"/>
        </w:rPr>
        <w:t>%</w:t>
      </w:r>
      <w:r>
        <w:rPr>
          <w:rFonts w:eastAsia="仿宋_GB2312"/>
          <w:sz w:val="32"/>
          <w:szCs w:val="32"/>
          <w:highlight w:val="none"/>
        </w:rPr>
        <w:t>；</w:t>
      </w:r>
    </w:p>
    <w:p>
      <w:pPr>
        <w:pStyle w:val="10"/>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上年结转结余的国有资本经营预算收入</w:t>
      </w:r>
      <w:r>
        <w:rPr>
          <w:rFonts w:hint="eastAsia" w:eastAsia="仿宋_GB2312"/>
          <w:sz w:val="32"/>
          <w:szCs w:val="32"/>
          <w:highlight w:val="none"/>
          <w:u w:val="single"/>
          <w:lang w:val="en-US" w:eastAsia="zh-CN"/>
        </w:rPr>
        <w:t>0</w:t>
      </w:r>
      <w:r>
        <w:rPr>
          <w:rFonts w:eastAsia="仿宋_GB2312"/>
          <w:sz w:val="32"/>
          <w:szCs w:val="32"/>
          <w:highlight w:val="none"/>
        </w:rPr>
        <w:t>万元，占</w:t>
      </w:r>
      <w:r>
        <w:rPr>
          <w:rFonts w:hint="eastAsia" w:eastAsia="仿宋_GB2312"/>
          <w:sz w:val="32"/>
          <w:szCs w:val="32"/>
          <w:highlight w:val="none"/>
          <w:u w:val="single"/>
          <w:lang w:val="en-US" w:eastAsia="zh-CN"/>
        </w:rPr>
        <w:t>0</w:t>
      </w:r>
      <w:r>
        <w:rPr>
          <w:rFonts w:hint="eastAsia" w:ascii="仿宋_GB2312" w:hAnsi="仿宋_GB2312" w:eastAsia="仿宋_GB2312"/>
          <w:sz w:val="32"/>
          <w:szCs w:val="32"/>
          <w:highlight w:val="none"/>
          <w:lang w:eastAsia="zh-CN"/>
        </w:rPr>
        <w:t>%</w:t>
      </w:r>
      <w:r>
        <w:rPr>
          <w:rFonts w:eastAsia="仿宋_GB2312"/>
          <w:sz w:val="32"/>
          <w:szCs w:val="32"/>
          <w:highlight w:val="none"/>
        </w:rPr>
        <w:t>；</w:t>
      </w:r>
    </w:p>
    <w:p>
      <w:pPr>
        <w:pStyle w:val="10"/>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上年结转结余的财政专户管理资金</w:t>
      </w:r>
      <w:r>
        <w:rPr>
          <w:rFonts w:hint="eastAsia" w:eastAsia="仿宋_GB2312"/>
          <w:sz w:val="32"/>
          <w:szCs w:val="32"/>
          <w:highlight w:val="none"/>
          <w:u w:val="single"/>
          <w:lang w:val="en-US" w:eastAsia="zh-CN"/>
        </w:rPr>
        <w:t>0</w:t>
      </w:r>
      <w:r>
        <w:rPr>
          <w:rFonts w:eastAsia="仿宋_GB2312"/>
          <w:sz w:val="32"/>
          <w:szCs w:val="32"/>
          <w:highlight w:val="none"/>
        </w:rPr>
        <w:t>万元，占</w:t>
      </w:r>
      <w:r>
        <w:rPr>
          <w:rFonts w:hint="eastAsia" w:eastAsia="仿宋_GB2312"/>
          <w:sz w:val="32"/>
          <w:szCs w:val="32"/>
          <w:highlight w:val="none"/>
          <w:u w:val="single"/>
          <w:lang w:val="en-US" w:eastAsia="zh-CN"/>
        </w:rPr>
        <w:t>0</w:t>
      </w:r>
      <w:r>
        <w:rPr>
          <w:rFonts w:hint="eastAsia" w:ascii="仿宋_GB2312" w:hAnsi="仿宋_GB2312" w:eastAsia="仿宋_GB2312"/>
          <w:sz w:val="32"/>
          <w:szCs w:val="32"/>
          <w:highlight w:val="none"/>
          <w:lang w:eastAsia="zh-CN"/>
        </w:rPr>
        <w:t>%</w:t>
      </w:r>
      <w:r>
        <w:rPr>
          <w:rFonts w:eastAsia="仿宋_GB2312"/>
          <w:sz w:val="32"/>
          <w:szCs w:val="32"/>
          <w:highlight w:val="none"/>
        </w:rPr>
        <w:t>；</w:t>
      </w:r>
    </w:p>
    <w:p>
      <w:pPr>
        <w:pStyle w:val="10"/>
        <w:tabs>
          <w:tab w:val="left" w:pos="2671"/>
          <w:tab w:val="left" w:pos="5000"/>
          <w:tab w:val="left" w:pos="6190"/>
        </w:tabs>
        <w:spacing w:after="0" w:line="600" w:lineRule="exact"/>
        <w:ind w:firstLine="640" w:firstLineChars="200"/>
        <w:rPr>
          <w:rFonts w:hint="eastAsia" w:eastAsia="仿宋_GB2312"/>
          <w:sz w:val="32"/>
          <w:szCs w:val="32"/>
          <w:highlight w:val="none"/>
          <w:lang w:eastAsia="zh-CN"/>
        </w:rPr>
      </w:pPr>
      <w:r>
        <w:rPr>
          <w:rFonts w:eastAsia="仿宋_GB2312"/>
          <w:sz w:val="32"/>
          <w:szCs w:val="32"/>
          <w:highlight w:val="none"/>
        </w:rPr>
        <w:t>上年结转结余的单位资金</w:t>
      </w:r>
      <w:r>
        <w:rPr>
          <w:rFonts w:hint="eastAsia" w:eastAsia="仿宋_GB2312"/>
          <w:sz w:val="32"/>
          <w:szCs w:val="32"/>
          <w:highlight w:val="none"/>
          <w:u w:val="single"/>
          <w:lang w:val="en-US" w:eastAsia="zh-CN"/>
        </w:rPr>
        <w:t>0</w:t>
      </w:r>
      <w:r>
        <w:rPr>
          <w:rFonts w:eastAsia="仿宋_GB2312"/>
          <w:sz w:val="32"/>
          <w:szCs w:val="32"/>
          <w:highlight w:val="none"/>
        </w:rPr>
        <w:t>万元，占</w:t>
      </w:r>
      <w:r>
        <w:rPr>
          <w:rFonts w:hint="eastAsia" w:eastAsia="仿宋_GB2312"/>
          <w:sz w:val="32"/>
          <w:szCs w:val="32"/>
          <w:highlight w:val="none"/>
          <w:u w:val="single"/>
          <w:lang w:val="en-US" w:eastAsia="zh-CN"/>
        </w:rPr>
        <w:t>0</w:t>
      </w:r>
      <w:r>
        <w:rPr>
          <w:rFonts w:eastAsia="仿宋_GB2312"/>
          <w:sz w:val="32"/>
          <w:szCs w:val="32"/>
          <w:highlight w:val="none"/>
        </w:rPr>
        <w:tab/>
      </w:r>
      <w:r>
        <w:rPr>
          <w:rFonts w:hint="eastAsia" w:ascii="仿宋_GB2312" w:hAnsi="仿宋_GB2312" w:eastAsia="仿宋_GB2312"/>
          <w:sz w:val="32"/>
          <w:szCs w:val="32"/>
          <w:highlight w:val="none"/>
          <w:lang w:eastAsia="zh-CN"/>
        </w:rPr>
        <w:t>%</w:t>
      </w:r>
      <w:r>
        <w:rPr>
          <w:rFonts w:hint="eastAsia" w:eastAsia="仿宋_GB2312"/>
          <w:sz w:val="32"/>
          <w:szCs w:val="32"/>
          <w:highlight w:val="none"/>
          <w:lang w:eastAsia="zh-CN"/>
        </w:rPr>
        <w:t>。</w:t>
      </w:r>
    </w:p>
    <w:p>
      <w:pPr>
        <w:pStyle w:val="10"/>
        <w:tabs>
          <w:tab w:val="left" w:pos="2671"/>
          <w:tab w:val="left" w:pos="5000"/>
          <w:tab w:val="left" w:pos="6190"/>
        </w:tabs>
        <w:spacing w:after="0" w:line="600" w:lineRule="exact"/>
        <w:ind w:firstLine="640" w:firstLineChars="200"/>
        <w:rPr>
          <w:rFonts w:hint="eastAsia" w:eastAsia="仿宋_GB2312"/>
          <w:sz w:val="32"/>
          <w:szCs w:val="32"/>
          <w:highlight w:val="none"/>
          <w:lang w:eastAsia="zh-CN"/>
        </w:rPr>
      </w:pPr>
    </w:p>
    <w:p>
      <w:pPr>
        <w:pStyle w:val="2"/>
        <w:tabs>
          <w:tab w:val="left" w:pos="0"/>
        </w:tabs>
        <w:ind w:left="0" w:leftChars="0" w:firstLine="0"/>
        <w:jc w:val="center"/>
        <w:rPr>
          <w:rFonts w:hint="eastAsia" w:ascii="Times New Roman" w:hAnsi="Times New Roman" w:eastAsia="仿宋_GB2312" w:cs="仿宋"/>
          <w:sz w:val="32"/>
          <w:szCs w:val="32"/>
          <w:highlight w:val="none"/>
          <w:lang w:eastAsia="zh-CN"/>
        </w:rPr>
      </w:pPr>
      <w:bookmarkStart w:id="6" w:name="_GoBack"/>
      <w:r>
        <w:rPr>
          <w:rFonts w:hint="eastAsia" w:ascii="Times New Roman" w:hAnsi="Times New Roman" w:eastAsia="仿宋_GB2312" w:cs="仿宋"/>
          <w:sz w:val="32"/>
          <w:szCs w:val="32"/>
          <w:highlight w:val="none"/>
          <w:lang w:eastAsia="zh-CN"/>
        </w:rPr>
        <w:drawing>
          <wp:anchor distT="0" distB="0" distL="114300" distR="114300" simplePos="0" relativeHeight="251658240" behindDoc="0" locked="0" layoutInCell="1" allowOverlap="1">
            <wp:simplePos x="0" y="0"/>
            <wp:positionH relativeFrom="column">
              <wp:posOffset>724535</wp:posOffset>
            </wp:positionH>
            <wp:positionV relativeFrom="paragraph">
              <wp:posOffset>459105</wp:posOffset>
            </wp:positionV>
            <wp:extent cx="3869690" cy="3272790"/>
            <wp:effectExtent l="4445" t="4445" r="12065" b="12065"/>
            <wp:wrapNone/>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anchor>
        </w:drawing>
      </w:r>
      <w:bookmarkEnd w:id="6"/>
      <w:r>
        <w:rPr>
          <w:rFonts w:eastAsia="仿宋_GB2312"/>
          <w:sz w:val="32"/>
          <w:szCs w:val="32"/>
          <w:highlight w:val="none"/>
        </w:rPr>
        <w:t>图1.收入预算图</w:t>
      </w:r>
    </w:p>
    <w:p>
      <w:pPr>
        <w:pStyle w:val="2"/>
        <w:tabs>
          <w:tab w:val="left" w:pos="0"/>
        </w:tabs>
        <w:ind w:left="0" w:leftChars="0" w:firstLine="0"/>
        <w:jc w:val="both"/>
        <w:rPr>
          <w:rFonts w:hint="eastAsia" w:ascii="Times New Roman" w:hAnsi="Times New Roman" w:eastAsia="仿宋_GB2312" w:cs="仿宋"/>
          <w:sz w:val="32"/>
          <w:szCs w:val="32"/>
          <w:highlight w:val="none"/>
          <w:lang w:eastAsia="zh-CN"/>
        </w:rPr>
      </w:pPr>
    </w:p>
    <w:p>
      <w:pPr>
        <w:pStyle w:val="2"/>
        <w:tabs>
          <w:tab w:val="left" w:pos="0"/>
        </w:tabs>
        <w:ind w:left="0" w:leftChars="0" w:firstLine="0"/>
        <w:jc w:val="both"/>
        <w:rPr>
          <w:rFonts w:hint="eastAsia" w:ascii="Times New Roman" w:hAnsi="Times New Roman" w:eastAsia="仿宋_GB2312" w:cs="仿宋"/>
          <w:sz w:val="32"/>
          <w:szCs w:val="32"/>
          <w:highlight w:val="none"/>
          <w:lang w:eastAsia="zh-CN"/>
        </w:rPr>
      </w:pPr>
    </w:p>
    <w:p>
      <w:pPr>
        <w:pStyle w:val="2"/>
        <w:tabs>
          <w:tab w:val="left" w:pos="0"/>
        </w:tabs>
        <w:ind w:left="0" w:leftChars="0" w:firstLine="0"/>
        <w:jc w:val="both"/>
        <w:rPr>
          <w:rFonts w:hint="eastAsia" w:ascii="Times New Roman" w:hAnsi="Times New Roman" w:eastAsia="仿宋_GB2312" w:cs="仿宋"/>
          <w:sz w:val="32"/>
          <w:szCs w:val="32"/>
          <w:highlight w:val="none"/>
          <w:lang w:eastAsia="zh-CN"/>
        </w:rPr>
      </w:pPr>
    </w:p>
    <w:p>
      <w:pPr>
        <w:pStyle w:val="2"/>
        <w:tabs>
          <w:tab w:val="left" w:pos="0"/>
        </w:tabs>
        <w:ind w:left="0" w:leftChars="0" w:firstLine="0"/>
        <w:jc w:val="both"/>
        <w:rPr>
          <w:rFonts w:hint="eastAsia" w:ascii="Times New Roman" w:hAnsi="Times New Roman" w:eastAsia="仿宋_GB2312" w:cs="仿宋"/>
          <w:sz w:val="32"/>
          <w:szCs w:val="32"/>
          <w:highlight w:val="none"/>
          <w:lang w:eastAsia="zh-CN"/>
        </w:rPr>
      </w:pPr>
    </w:p>
    <w:p>
      <w:pPr>
        <w:pStyle w:val="2"/>
        <w:tabs>
          <w:tab w:val="left" w:pos="0"/>
        </w:tabs>
        <w:ind w:left="0" w:leftChars="0" w:firstLine="0"/>
        <w:jc w:val="both"/>
        <w:rPr>
          <w:rFonts w:hint="eastAsia" w:ascii="Times New Roman" w:hAnsi="Times New Roman" w:eastAsia="仿宋_GB2312" w:cs="仿宋"/>
          <w:sz w:val="32"/>
          <w:szCs w:val="32"/>
          <w:highlight w:val="none"/>
          <w:lang w:eastAsia="zh-CN"/>
        </w:rPr>
      </w:pPr>
    </w:p>
    <w:p>
      <w:pPr>
        <w:pStyle w:val="2"/>
        <w:tabs>
          <w:tab w:val="left" w:pos="0"/>
        </w:tabs>
        <w:ind w:left="0" w:leftChars="0" w:firstLine="0"/>
        <w:jc w:val="both"/>
        <w:rPr>
          <w:rFonts w:hint="eastAsia" w:ascii="Times New Roman" w:hAnsi="Times New Roman" w:eastAsia="仿宋_GB2312" w:cs="仿宋"/>
          <w:sz w:val="32"/>
          <w:szCs w:val="32"/>
          <w:highlight w:val="none"/>
          <w:lang w:eastAsia="zh-CN"/>
        </w:rPr>
      </w:pPr>
    </w:p>
    <w:p>
      <w:pPr>
        <w:pStyle w:val="2"/>
        <w:tabs>
          <w:tab w:val="left" w:pos="0"/>
        </w:tabs>
        <w:ind w:left="0" w:leftChars="0" w:firstLine="0"/>
        <w:jc w:val="both"/>
        <w:rPr>
          <w:rFonts w:hint="eastAsia" w:ascii="Times New Roman" w:hAnsi="Times New Roman" w:eastAsia="仿宋_GB2312" w:cs="仿宋"/>
          <w:sz w:val="32"/>
          <w:szCs w:val="32"/>
          <w:highlight w:val="none"/>
          <w:lang w:eastAsia="zh-CN"/>
        </w:rPr>
      </w:pPr>
    </w:p>
    <w:p>
      <w:pPr>
        <w:pStyle w:val="2"/>
        <w:tabs>
          <w:tab w:val="left" w:pos="0"/>
        </w:tabs>
        <w:ind w:left="0" w:leftChars="0" w:firstLine="0"/>
        <w:jc w:val="both"/>
        <w:rPr>
          <w:rFonts w:hint="eastAsia" w:ascii="Times New Roman" w:hAnsi="Times New Roman" w:eastAsia="仿宋_GB2312" w:cs="仿宋"/>
          <w:sz w:val="32"/>
          <w:szCs w:val="32"/>
          <w:highlight w:val="none"/>
          <w:lang w:eastAsia="zh-CN"/>
        </w:rPr>
      </w:pPr>
    </w:p>
    <w:p>
      <w:pPr>
        <w:numPr>
          <w:ilvl w:val="0"/>
          <w:numId w:val="1"/>
        </w:numPr>
        <w:spacing w:line="600" w:lineRule="exact"/>
        <w:ind w:left="17" w:leftChars="8" w:firstLine="624" w:firstLineChars="195"/>
        <w:outlineLvl w:val="2"/>
        <w:rPr>
          <w:rFonts w:hint="eastAsia" w:eastAsia="黑体" w:cs="黑体"/>
          <w:sz w:val="32"/>
          <w:szCs w:val="36"/>
          <w:highlight w:val="none"/>
        </w:rPr>
      </w:pPr>
      <w:r>
        <w:rPr>
          <w:rFonts w:hint="eastAsia" w:eastAsia="黑体" w:cs="黑体"/>
          <w:sz w:val="32"/>
          <w:szCs w:val="36"/>
          <w:highlight w:val="none"/>
        </w:rPr>
        <w:t>支出预算情况说明</w:t>
      </w:r>
    </w:p>
    <w:p>
      <w:pPr>
        <w:pStyle w:val="10"/>
        <w:tabs>
          <w:tab w:val="left" w:pos="2671"/>
          <w:tab w:val="left" w:pos="5000"/>
          <w:tab w:val="left" w:pos="6190"/>
        </w:tabs>
        <w:spacing w:after="0" w:line="600" w:lineRule="exact"/>
        <w:ind w:firstLine="640" w:firstLineChars="200"/>
        <w:rPr>
          <w:rFonts w:hint="eastAsia" w:eastAsia="仿宋_GB2312"/>
          <w:sz w:val="32"/>
          <w:szCs w:val="32"/>
          <w:highlight w:val="none"/>
          <w:lang w:eastAsia="zh-CN"/>
        </w:rPr>
      </w:pPr>
      <w:r>
        <w:rPr>
          <w:rFonts w:hint="eastAsia" w:ascii="仿宋_GB2312" w:hAnsi="仿宋_GB2312" w:eastAsia="仿宋_GB2312" w:cs="仿宋_GB2312"/>
          <w:snapToGrid w:val="0"/>
          <w:color w:val="000000"/>
          <w:kern w:val="0"/>
          <w:sz w:val="32"/>
          <w:szCs w:val="32"/>
          <w:lang w:val="en-US" w:eastAsia="zh-CN" w:bidi="ar-SA"/>
        </w:rPr>
        <w:t>内蒙古自治区卫生健康委员会综合保障中心</w:t>
      </w:r>
      <w:r>
        <w:rPr>
          <w:rFonts w:hint="eastAsia" w:ascii="仿宋_GB2312" w:hAnsi="仿宋_GB2312" w:eastAsia="仿宋_GB2312" w:cs="仿宋"/>
          <w:sz w:val="32"/>
          <w:szCs w:val="32"/>
          <w:highlight w:val="none"/>
          <w:lang w:val="en-US" w:eastAsia="zh-CN"/>
        </w:rPr>
        <w:t>2026</w:t>
      </w:r>
      <w:r>
        <w:rPr>
          <w:rFonts w:hint="eastAsia" w:ascii="仿宋_GB2312" w:hAnsi="仿宋_GB2312" w:eastAsia="仿宋_GB2312" w:cs="仿宋_GB2312"/>
          <w:sz w:val="32"/>
          <w:szCs w:val="32"/>
          <w:highlight w:val="none"/>
        </w:rPr>
        <w:t>年度</w:t>
      </w:r>
      <w:r>
        <w:rPr>
          <w:rFonts w:eastAsia="仿宋_GB2312"/>
          <w:sz w:val="32"/>
          <w:szCs w:val="32"/>
          <w:highlight w:val="none"/>
        </w:rPr>
        <w:t>支出预算合计</w:t>
      </w:r>
      <w:r>
        <w:rPr>
          <w:rFonts w:hint="eastAsia" w:eastAsia="仿宋_GB2312"/>
          <w:sz w:val="32"/>
          <w:szCs w:val="32"/>
          <w:highlight w:val="none"/>
          <w:u w:val="single"/>
          <w:lang w:val="en-US" w:eastAsia="zh-CN"/>
        </w:rPr>
        <w:t>2293.73</w:t>
      </w:r>
      <w:r>
        <w:rPr>
          <w:rFonts w:eastAsia="仿宋_GB2312"/>
          <w:sz w:val="32"/>
          <w:szCs w:val="32"/>
          <w:highlight w:val="none"/>
        </w:rPr>
        <w:t>万元，其中</w:t>
      </w:r>
      <w:r>
        <w:rPr>
          <w:rFonts w:hint="eastAsia" w:eastAsia="仿宋_GB2312"/>
          <w:sz w:val="32"/>
          <w:szCs w:val="32"/>
          <w:highlight w:val="none"/>
          <w:lang w:eastAsia="zh-CN"/>
        </w:rPr>
        <w:t>：</w:t>
      </w:r>
    </w:p>
    <w:p>
      <w:pPr>
        <w:pStyle w:val="10"/>
        <w:tabs>
          <w:tab w:val="left" w:pos="2671"/>
          <w:tab w:val="left" w:pos="5000"/>
          <w:tab w:val="left" w:pos="6190"/>
        </w:tabs>
        <w:spacing w:after="0" w:line="600" w:lineRule="exact"/>
        <w:ind w:firstLine="640" w:firstLineChars="200"/>
        <w:rPr>
          <w:rFonts w:hint="eastAsia" w:eastAsia="仿宋_GB2312"/>
          <w:sz w:val="32"/>
          <w:szCs w:val="32"/>
          <w:highlight w:val="none"/>
          <w:lang w:eastAsia="zh-CN"/>
        </w:rPr>
      </w:pPr>
      <w:r>
        <w:rPr>
          <w:rFonts w:eastAsia="仿宋_GB2312"/>
          <w:sz w:val="32"/>
          <w:szCs w:val="32"/>
          <w:highlight w:val="none"/>
        </w:rPr>
        <w:t>基本支出</w:t>
      </w:r>
      <w:r>
        <w:rPr>
          <w:rFonts w:hint="eastAsia" w:eastAsia="仿宋_GB2312"/>
          <w:sz w:val="32"/>
          <w:szCs w:val="32"/>
          <w:highlight w:val="none"/>
          <w:u w:val="single"/>
          <w:lang w:val="en-US" w:eastAsia="zh-CN"/>
        </w:rPr>
        <w:t>802.2</w:t>
      </w:r>
      <w:r>
        <w:rPr>
          <w:rFonts w:eastAsia="仿宋_GB2312"/>
          <w:sz w:val="32"/>
          <w:szCs w:val="32"/>
          <w:highlight w:val="none"/>
        </w:rPr>
        <w:t>万元，占</w:t>
      </w:r>
      <w:r>
        <w:rPr>
          <w:rFonts w:hint="eastAsia" w:eastAsia="仿宋_GB2312"/>
          <w:sz w:val="32"/>
          <w:szCs w:val="32"/>
          <w:highlight w:val="none"/>
          <w:u w:val="single"/>
          <w:lang w:val="en-US" w:eastAsia="zh-CN"/>
        </w:rPr>
        <w:t>34.98</w:t>
      </w:r>
      <w:r>
        <w:rPr>
          <w:rFonts w:hint="eastAsia" w:ascii="仿宋_GB2312" w:hAnsi="仿宋_GB2312" w:eastAsia="仿宋_GB2312"/>
          <w:sz w:val="32"/>
          <w:szCs w:val="32"/>
          <w:highlight w:val="none"/>
          <w:lang w:eastAsia="zh-CN"/>
        </w:rPr>
        <w:t>%</w:t>
      </w:r>
      <w:r>
        <w:rPr>
          <w:rFonts w:hint="eastAsia" w:eastAsia="仿宋_GB2312"/>
          <w:sz w:val="32"/>
          <w:szCs w:val="32"/>
          <w:highlight w:val="none"/>
          <w:lang w:eastAsia="zh-CN"/>
        </w:rPr>
        <w:t>；</w:t>
      </w:r>
    </w:p>
    <w:p>
      <w:pPr>
        <w:pStyle w:val="10"/>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项目支出</w:t>
      </w:r>
      <w:r>
        <w:rPr>
          <w:rFonts w:hint="eastAsia" w:eastAsia="仿宋_GB2312"/>
          <w:sz w:val="32"/>
          <w:szCs w:val="32"/>
          <w:highlight w:val="none"/>
          <w:u w:val="single"/>
          <w:lang w:val="en-US" w:eastAsia="zh-CN"/>
        </w:rPr>
        <w:t>1491.53</w:t>
      </w:r>
      <w:r>
        <w:rPr>
          <w:rFonts w:eastAsia="仿宋_GB2312"/>
          <w:sz w:val="32"/>
          <w:szCs w:val="32"/>
          <w:highlight w:val="none"/>
        </w:rPr>
        <w:t>万元，占</w:t>
      </w:r>
      <w:r>
        <w:rPr>
          <w:rFonts w:hint="eastAsia" w:eastAsia="仿宋_GB2312"/>
          <w:sz w:val="32"/>
          <w:szCs w:val="32"/>
          <w:highlight w:val="none"/>
          <w:u w:val="single"/>
          <w:lang w:val="en-US" w:eastAsia="zh-CN"/>
        </w:rPr>
        <w:t>65.02</w:t>
      </w:r>
      <w:r>
        <w:rPr>
          <w:rFonts w:hint="eastAsia" w:ascii="仿宋_GB2312" w:hAnsi="仿宋_GB2312" w:eastAsia="仿宋_GB2312"/>
          <w:sz w:val="32"/>
          <w:szCs w:val="32"/>
          <w:highlight w:val="none"/>
          <w:lang w:eastAsia="zh-CN"/>
        </w:rPr>
        <w:t>%</w:t>
      </w:r>
      <w:r>
        <w:rPr>
          <w:rFonts w:eastAsia="仿宋_GB2312"/>
          <w:sz w:val="32"/>
          <w:szCs w:val="32"/>
          <w:highlight w:val="none"/>
        </w:rPr>
        <w:t>；</w:t>
      </w:r>
    </w:p>
    <w:p>
      <w:pPr>
        <w:pStyle w:val="10"/>
        <w:tabs>
          <w:tab w:val="left" w:pos="2671"/>
          <w:tab w:val="left" w:pos="5000"/>
          <w:tab w:val="left" w:pos="6190"/>
        </w:tabs>
        <w:spacing w:after="0" w:line="600" w:lineRule="exact"/>
        <w:ind w:firstLine="640" w:firstLineChars="200"/>
        <w:rPr>
          <w:rFonts w:ascii="Times New Roman" w:hAnsi="Times New Roman" w:eastAsia="仿宋_GB2312" w:cs="仿宋"/>
          <w:sz w:val="32"/>
          <w:szCs w:val="32"/>
          <w:highlight w:val="none"/>
        </w:rPr>
      </w:pPr>
      <w:r>
        <w:rPr>
          <w:rFonts w:eastAsia="仿宋_GB2312"/>
          <w:sz w:val="32"/>
          <w:szCs w:val="32"/>
          <w:highlight w:val="none"/>
        </w:rPr>
        <w:t>事业单位经营支出</w:t>
      </w:r>
      <w:r>
        <w:rPr>
          <w:rFonts w:hint="eastAsia" w:eastAsia="仿宋_GB2312"/>
          <w:sz w:val="32"/>
          <w:szCs w:val="32"/>
          <w:highlight w:val="none"/>
          <w:u w:val="single"/>
          <w:lang w:val="en-US" w:eastAsia="zh-CN"/>
        </w:rPr>
        <w:t>0</w:t>
      </w:r>
      <w:r>
        <w:rPr>
          <w:rFonts w:eastAsia="仿宋_GB2312"/>
          <w:sz w:val="32"/>
          <w:szCs w:val="32"/>
          <w:highlight w:val="none"/>
        </w:rPr>
        <w:t>万元，占</w:t>
      </w:r>
      <w:r>
        <w:rPr>
          <w:rFonts w:hint="eastAsia" w:eastAsia="仿宋_GB2312"/>
          <w:sz w:val="32"/>
          <w:szCs w:val="32"/>
          <w:highlight w:val="none"/>
          <w:u w:val="single"/>
          <w:lang w:val="en-US" w:eastAsia="zh-CN"/>
        </w:rPr>
        <w:t>0</w:t>
      </w:r>
      <w:r>
        <w:rPr>
          <w:rFonts w:hint="eastAsia" w:ascii="仿宋_GB2312" w:hAnsi="仿宋_GB2312" w:eastAsia="仿宋_GB2312"/>
          <w:sz w:val="32"/>
          <w:szCs w:val="32"/>
          <w:highlight w:val="none"/>
          <w:lang w:eastAsia="zh-CN"/>
        </w:rPr>
        <w:t>%</w:t>
      </w:r>
      <w:r>
        <w:rPr>
          <w:rFonts w:eastAsia="仿宋_GB2312"/>
          <w:sz w:val="32"/>
          <w:szCs w:val="32"/>
          <w:highlight w:val="none"/>
        </w:rPr>
        <w:t>；</w:t>
      </w:r>
    </w:p>
    <w:p>
      <w:pPr>
        <w:pStyle w:val="10"/>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上缴上级支出</w:t>
      </w:r>
      <w:r>
        <w:rPr>
          <w:rFonts w:hint="eastAsia" w:eastAsia="仿宋_GB2312"/>
          <w:sz w:val="32"/>
          <w:szCs w:val="32"/>
          <w:highlight w:val="none"/>
          <w:u w:val="single"/>
          <w:lang w:val="en-US" w:eastAsia="zh-CN"/>
        </w:rPr>
        <w:t>0</w:t>
      </w:r>
      <w:r>
        <w:rPr>
          <w:rFonts w:eastAsia="仿宋_GB2312"/>
          <w:sz w:val="32"/>
          <w:szCs w:val="32"/>
          <w:highlight w:val="none"/>
        </w:rPr>
        <w:t>万元，占</w:t>
      </w:r>
      <w:r>
        <w:rPr>
          <w:rFonts w:hint="eastAsia" w:eastAsia="仿宋_GB2312"/>
          <w:sz w:val="32"/>
          <w:szCs w:val="32"/>
          <w:highlight w:val="none"/>
          <w:u w:val="single"/>
          <w:lang w:val="en-US" w:eastAsia="zh-CN"/>
        </w:rPr>
        <w:t>0</w:t>
      </w:r>
      <w:r>
        <w:rPr>
          <w:rFonts w:hint="eastAsia" w:ascii="仿宋_GB2312" w:hAnsi="仿宋_GB2312" w:eastAsia="仿宋_GB2312"/>
          <w:sz w:val="32"/>
          <w:szCs w:val="32"/>
          <w:highlight w:val="none"/>
          <w:lang w:eastAsia="zh-CN"/>
        </w:rPr>
        <w:t>%</w:t>
      </w:r>
      <w:r>
        <w:rPr>
          <w:rFonts w:eastAsia="仿宋_GB2312"/>
          <w:sz w:val="32"/>
          <w:szCs w:val="32"/>
          <w:highlight w:val="none"/>
        </w:rPr>
        <w:t>；</w:t>
      </w:r>
    </w:p>
    <w:p>
      <w:pPr>
        <w:pStyle w:val="10"/>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对附属单位补助支出</w:t>
      </w:r>
      <w:r>
        <w:rPr>
          <w:rFonts w:hint="eastAsia" w:eastAsia="仿宋_GB2312"/>
          <w:sz w:val="32"/>
          <w:szCs w:val="32"/>
          <w:highlight w:val="none"/>
          <w:u w:val="single"/>
          <w:lang w:val="en-US" w:eastAsia="zh-CN"/>
        </w:rPr>
        <w:t>0</w:t>
      </w:r>
      <w:r>
        <w:rPr>
          <w:rFonts w:eastAsia="仿宋_GB2312"/>
          <w:sz w:val="32"/>
          <w:szCs w:val="32"/>
          <w:highlight w:val="none"/>
        </w:rPr>
        <w:t>万元，占</w:t>
      </w:r>
      <w:r>
        <w:rPr>
          <w:rFonts w:hint="eastAsia" w:eastAsia="仿宋_GB2312"/>
          <w:sz w:val="32"/>
          <w:szCs w:val="32"/>
          <w:highlight w:val="none"/>
          <w:u w:val="single"/>
          <w:lang w:val="en-US" w:eastAsia="zh-CN"/>
        </w:rPr>
        <w:t>0</w:t>
      </w:r>
      <w:r>
        <w:rPr>
          <w:rFonts w:hint="eastAsia" w:ascii="仿宋_GB2312" w:hAnsi="仿宋_GB2312" w:eastAsia="仿宋_GB2312"/>
          <w:sz w:val="32"/>
          <w:szCs w:val="32"/>
          <w:highlight w:val="none"/>
          <w:lang w:eastAsia="zh-CN"/>
        </w:rPr>
        <w:t>%</w:t>
      </w:r>
      <w:r>
        <w:rPr>
          <w:rFonts w:eastAsia="仿宋_GB2312"/>
          <w:sz w:val="32"/>
          <w:szCs w:val="32"/>
          <w:highlight w:val="none"/>
        </w:rPr>
        <w:t>。</w:t>
      </w:r>
    </w:p>
    <w:p>
      <w:pPr>
        <w:pStyle w:val="10"/>
        <w:tabs>
          <w:tab w:val="left" w:pos="2671"/>
          <w:tab w:val="left" w:pos="5000"/>
          <w:tab w:val="left" w:pos="6190"/>
        </w:tabs>
        <w:spacing w:after="0" w:line="600" w:lineRule="exact"/>
        <w:ind w:firstLine="640" w:firstLineChars="200"/>
        <w:rPr>
          <w:rFonts w:hint="default" w:eastAsia="仿宋_GB2312"/>
          <w:sz w:val="32"/>
          <w:szCs w:val="32"/>
          <w:highlight w:val="none"/>
        </w:rPr>
      </w:pPr>
    </w:p>
    <w:p>
      <w:pPr>
        <w:pStyle w:val="2"/>
        <w:ind w:left="0" w:leftChars="0" w:firstLine="220"/>
        <w:jc w:val="center"/>
        <w:rPr>
          <w:rFonts w:hint="eastAsia" w:ascii="Times New Roman" w:hAnsi="Times New Roman" w:eastAsia="仿宋_GB2312" w:cs="仿宋"/>
          <w:sz w:val="32"/>
          <w:szCs w:val="32"/>
          <w:highlight w:val="none"/>
          <w:lang w:eastAsia="zh-CN"/>
        </w:rPr>
      </w:pPr>
      <w:r>
        <w:rPr>
          <w:rFonts w:eastAsia="仿宋_GB2312"/>
          <w:sz w:val="32"/>
          <w:szCs w:val="32"/>
          <w:highlight w:val="none"/>
        </w:rPr>
        <w:t>图2.支出预算图</w:t>
      </w:r>
      <w:r>
        <w:rPr>
          <w:rFonts w:hint="eastAsia" w:ascii="Times New Roman" w:hAnsi="Times New Roman" w:eastAsia="仿宋_GB2312" w:cs="仿宋"/>
          <w:sz w:val="32"/>
          <w:szCs w:val="32"/>
          <w:highlight w:val="none"/>
          <w:lang w:eastAsia="zh-CN"/>
        </w:rPr>
        <w:drawing>
          <wp:inline distT="0" distB="0" distL="114300" distR="114300">
            <wp:extent cx="3874135" cy="3257550"/>
            <wp:effectExtent l="4445" t="4445" r="7620" b="14605"/>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spacing w:line="600" w:lineRule="exact"/>
        <w:ind w:left="6" w:leftChars="0" w:firstLine="633" w:firstLineChars="198"/>
        <w:outlineLvl w:val="2"/>
        <w:rPr>
          <w:rFonts w:eastAsia="黑体" w:cs="黑体"/>
          <w:sz w:val="32"/>
          <w:szCs w:val="36"/>
          <w:highlight w:val="none"/>
        </w:rPr>
      </w:pPr>
      <w:r>
        <w:rPr>
          <w:rFonts w:hint="eastAsia" w:eastAsia="黑体" w:cs="黑体"/>
          <w:sz w:val="32"/>
          <w:szCs w:val="36"/>
          <w:highlight w:val="none"/>
        </w:rPr>
        <w:t>四、财政拨款收支预算总体情况说明</w:t>
      </w:r>
    </w:p>
    <w:p>
      <w:pPr>
        <w:spacing w:before="178" w:line="333" w:lineRule="auto"/>
        <w:ind w:left="3" w:firstLine="649"/>
        <w:rPr>
          <w:rFonts w:ascii="Times New Roman" w:hAnsi="Times New Roman" w:eastAsia="仿宋_GB2312" w:cs="仿宋"/>
          <w:sz w:val="32"/>
          <w:szCs w:val="32"/>
          <w:highlight w:val="none"/>
        </w:rPr>
      </w:pPr>
      <w:r>
        <w:rPr>
          <w:rFonts w:hint="eastAsia" w:ascii="仿宋_GB2312" w:hAnsi="仿宋_GB2312" w:eastAsia="仿宋_GB2312" w:cs="仿宋_GB2312"/>
          <w:snapToGrid w:val="0"/>
          <w:color w:val="000000"/>
          <w:kern w:val="0"/>
          <w:sz w:val="32"/>
          <w:szCs w:val="32"/>
          <w:lang w:val="en-US" w:eastAsia="zh-CN" w:bidi="ar-SA"/>
        </w:rPr>
        <w:t>内蒙古自治区卫生健康委员会综合保障中心</w:t>
      </w:r>
      <w:r>
        <w:rPr>
          <w:rFonts w:hint="eastAsia" w:ascii="仿宋_GB2312" w:hAnsi="仿宋_GB2312" w:eastAsia="仿宋_GB2312" w:cs="仿宋"/>
          <w:sz w:val="32"/>
          <w:szCs w:val="32"/>
          <w:highlight w:val="none"/>
          <w:lang w:val="en-US" w:eastAsia="zh-CN"/>
        </w:rPr>
        <w:t>2026</w:t>
      </w:r>
      <w:r>
        <w:rPr>
          <w:rFonts w:hint="eastAsia" w:ascii="仿宋_GB2312" w:hAnsi="仿宋_GB2312" w:eastAsia="仿宋_GB2312" w:cs="仿宋_GB2312"/>
          <w:sz w:val="32"/>
          <w:szCs w:val="32"/>
          <w:highlight w:val="none"/>
        </w:rPr>
        <w:t>年</w:t>
      </w:r>
      <w:r>
        <w:rPr>
          <w:rFonts w:eastAsia="仿宋_GB2312"/>
          <w:sz w:val="32"/>
          <w:szCs w:val="32"/>
          <w:highlight w:val="none"/>
        </w:rPr>
        <w:t>度财政拨款收、支总预算</w:t>
      </w:r>
      <w:r>
        <w:rPr>
          <w:rFonts w:hint="eastAsia" w:eastAsia="仿宋_GB2312"/>
          <w:sz w:val="32"/>
          <w:szCs w:val="32"/>
          <w:highlight w:val="none"/>
          <w:u w:val="single"/>
          <w:lang w:val="en-US" w:eastAsia="zh-CN"/>
        </w:rPr>
        <w:t>1122.2</w:t>
      </w:r>
      <w:r>
        <w:rPr>
          <w:rFonts w:eastAsia="仿宋_GB2312"/>
          <w:sz w:val="32"/>
          <w:szCs w:val="32"/>
          <w:highlight w:val="none"/>
        </w:rPr>
        <w:t>万元。与上年相比，财政拨款收、支总计各增加</w:t>
      </w:r>
      <w:r>
        <w:rPr>
          <w:rFonts w:hint="eastAsia" w:eastAsia="仿宋_GB2312"/>
          <w:sz w:val="32"/>
          <w:szCs w:val="32"/>
          <w:highlight w:val="none"/>
          <w:u w:val="single"/>
          <w:lang w:val="en-US" w:eastAsia="zh-CN"/>
        </w:rPr>
        <w:t>128.66</w:t>
      </w:r>
      <w:r>
        <w:rPr>
          <w:rFonts w:eastAsia="仿宋_GB2312"/>
          <w:sz w:val="32"/>
          <w:szCs w:val="32"/>
          <w:highlight w:val="none"/>
        </w:rPr>
        <w:t>万元，增长</w:t>
      </w:r>
      <w:r>
        <w:rPr>
          <w:rFonts w:hint="eastAsia" w:eastAsia="仿宋_GB2312"/>
          <w:sz w:val="32"/>
          <w:szCs w:val="32"/>
          <w:highlight w:val="none"/>
          <w:u w:val="single"/>
          <w:lang w:val="en-US" w:eastAsia="zh-CN"/>
        </w:rPr>
        <w:t>12.95</w:t>
      </w:r>
      <w:r>
        <w:rPr>
          <w:rFonts w:hint="eastAsia" w:ascii="仿宋_GB2312" w:hAnsi="仿宋_GB2312" w:eastAsia="仿宋_GB2312"/>
          <w:sz w:val="32"/>
          <w:szCs w:val="32"/>
          <w:highlight w:val="none"/>
          <w:lang w:eastAsia="zh-CN"/>
        </w:rPr>
        <w:t>%</w:t>
      </w:r>
      <w:r>
        <w:rPr>
          <w:rFonts w:eastAsia="仿宋_GB2312"/>
          <w:sz w:val="32"/>
          <w:szCs w:val="32"/>
          <w:highlight w:val="none"/>
        </w:rPr>
        <w:t>。主要原因是</w:t>
      </w:r>
      <w:r>
        <w:rPr>
          <w:rFonts w:hint="eastAsia" w:eastAsia="仿宋_GB2312"/>
          <w:sz w:val="32"/>
          <w:szCs w:val="32"/>
          <w:highlight w:val="none"/>
          <w:lang w:eastAsia="zh-CN"/>
        </w:rPr>
        <w:t>该款项用于</w:t>
      </w:r>
      <w:r>
        <w:rPr>
          <w:rFonts w:hint="eastAsia" w:ascii="Times New Roman" w:hAnsi="Times New Roman" w:eastAsia="仿宋_GB2312" w:cs="Times New Roman"/>
          <w:snapToGrid/>
          <w:kern w:val="2"/>
          <w:sz w:val="32"/>
          <w:szCs w:val="32"/>
          <w:highlight w:val="none"/>
          <w:lang w:val="en-US" w:eastAsia="zh-CN" w:bidi="ar-SA"/>
        </w:rPr>
        <w:t>我单位职工工资福利支出</w:t>
      </w:r>
      <w:r>
        <w:rPr>
          <w:rFonts w:hint="eastAsia" w:eastAsia="仿宋_GB2312" w:cs="Times New Roman"/>
          <w:snapToGrid/>
          <w:kern w:val="2"/>
          <w:sz w:val="32"/>
          <w:szCs w:val="32"/>
          <w:highlight w:val="none"/>
          <w:lang w:val="en-US" w:eastAsia="zh-CN" w:bidi="ar-SA"/>
        </w:rPr>
        <w:t>、保险支出</w:t>
      </w:r>
      <w:r>
        <w:rPr>
          <w:rFonts w:hint="eastAsia" w:ascii="Times New Roman" w:hAnsi="Times New Roman" w:eastAsia="仿宋_GB2312" w:cs="Times New Roman"/>
          <w:snapToGrid/>
          <w:kern w:val="2"/>
          <w:sz w:val="32"/>
          <w:szCs w:val="32"/>
          <w:highlight w:val="none"/>
          <w:lang w:val="en-US" w:eastAsia="zh-CN" w:bidi="ar-SA"/>
        </w:rPr>
        <w:t>以及机构运行工作经费，上一年末新增在编人员</w:t>
      </w:r>
      <w:r>
        <w:rPr>
          <w:rFonts w:hint="eastAsia" w:eastAsia="仿宋_GB2312" w:cs="Times New Roman"/>
          <w:snapToGrid/>
          <w:kern w:val="2"/>
          <w:sz w:val="32"/>
          <w:szCs w:val="32"/>
          <w:highlight w:val="none"/>
          <w:lang w:val="en-US" w:eastAsia="zh-CN" w:bidi="ar-SA"/>
        </w:rPr>
        <w:t>11</w:t>
      </w:r>
      <w:r>
        <w:rPr>
          <w:rFonts w:hint="eastAsia" w:ascii="Times New Roman" w:hAnsi="Times New Roman" w:eastAsia="仿宋_GB2312" w:cs="Times New Roman"/>
          <w:snapToGrid/>
          <w:kern w:val="2"/>
          <w:sz w:val="32"/>
          <w:szCs w:val="32"/>
          <w:highlight w:val="none"/>
          <w:lang w:val="en-US" w:eastAsia="zh-CN" w:bidi="ar-SA"/>
        </w:rPr>
        <w:t>人，所需工作</w:t>
      </w:r>
      <w:r>
        <w:rPr>
          <w:rFonts w:hint="eastAsia" w:eastAsia="仿宋_GB2312" w:cs="Times New Roman"/>
          <w:snapToGrid/>
          <w:kern w:val="2"/>
          <w:sz w:val="32"/>
          <w:szCs w:val="32"/>
          <w:highlight w:val="none"/>
          <w:lang w:val="en-US" w:eastAsia="zh-CN" w:bidi="ar-SA"/>
        </w:rPr>
        <w:t>经费</w:t>
      </w:r>
      <w:r>
        <w:rPr>
          <w:rFonts w:hint="eastAsia" w:ascii="Times New Roman" w:hAnsi="Times New Roman" w:eastAsia="仿宋_GB2312" w:cs="Times New Roman"/>
          <w:snapToGrid/>
          <w:kern w:val="2"/>
          <w:sz w:val="32"/>
          <w:szCs w:val="32"/>
          <w:highlight w:val="none"/>
          <w:lang w:val="en-US" w:eastAsia="zh-CN" w:bidi="ar-SA"/>
        </w:rPr>
        <w:t>也随之增长</w:t>
      </w:r>
      <w:r>
        <w:rPr>
          <w:rFonts w:eastAsia="仿宋_GB2312"/>
          <w:sz w:val="32"/>
          <w:szCs w:val="32"/>
          <w:highlight w:val="none"/>
        </w:rPr>
        <w:t>。</w:t>
      </w:r>
    </w:p>
    <w:p>
      <w:pPr>
        <w:spacing w:line="600" w:lineRule="exact"/>
        <w:ind w:left="0" w:leftChars="0" w:firstLine="640" w:firstLineChars="200"/>
        <w:outlineLvl w:val="2"/>
        <w:rPr>
          <w:rFonts w:eastAsia="黑体" w:cs="黑体"/>
          <w:sz w:val="32"/>
          <w:szCs w:val="36"/>
          <w:highlight w:val="none"/>
        </w:rPr>
      </w:pPr>
      <w:r>
        <w:rPr>
          <w:rFonts w:hint="eastAsia" w:eastAsia="黑体" w:cs="黑体"/>
          <w:sz w:val="32"/>
          <w:szCs w:val="36"/>
          <w:highlight w:val="none"/>
        </w:rPr>
        <w:t>五、一般公共预算支出预算情况说明</w:t>
      </w:r>
    </w:p>
    <w:p>
      <w:pPr>
        <w:pStyle w:val="10"/>
        <w:tabs>
          <w:tab w:val="left" w:pos="2671"/>
          <w:tab w:val="left" w:pos="5000"/>
          <w:tab w:val="left" w:pos="6190"/>
        </w:tabs>
        <w:spacing w:after="0" w:line="600" w:lineRule="exact"/>
        <w:ind w:firstLine="640" w:firstLineChars="200"/>
        <w:rPr>
          <w:rFonts w:hint="eastAsia" w:ascii="Times New Roman" w:hAnsi="Times New Roman" w:eastAsia="仿宋_GB2312" w:cs="仿宋"/>
          <w:sz w:val="32"/>
          <w:szCs w:val="32"/>
          <w:highlight w:val="none"/>
        </w:rPr>
      </w:pPr>
      <w:r>
        <w:rPr>
          <w:rFonts w:hint="eastAsia" w:ascii="仿宋_GB2312" w:hAnsi="仿宋_GB2312" w:eastAsia="仿宋_GB2312" w:cs="仿宋_GB2312"/>
          <w:snapToGrid w:val="0"/>
          <w:color w:val="000000"/>
          <w:kern w:val="0"/>
          <w:sz w:val="32"/>
          <w:szCs w:val="32"/>
          <w:lang w:val="en-US" w:eastAsia="zh-CN" w:bidi="ar-SA"/>
        </w:rPr>
        <w:t>内蒙古自治区卫生健康委员会综合保障</w:t>
      </w:r>
      <w:r>
        <w:rPr>
          <w:rFonts w:hint="eastAsia" w:ascii="Times New Roman" w:hAnsi="Times New Roman" w:eastAsia="仿宋_GB2312" w:cs="仿宋"/>
          <w:sz w:val="32"/>
          <w:szCs w:val="32"/>
          <w:highlight w:val="none"/>
          <w:lang w:val="en-US" w:eastAsia="zh-CN"/>
        </w:rPr>
        <w:t>中心2026</w:t>
      </w:r>
      <w:r>
        <w:rPr>
          <w:rFonts w:hint="eastAsia" w:ascii="Times New Roman" w:hAnsi="Times New Roman" w:eastAsia="仿宋_GB2312" w:cs="仿宋"/>
          <w:sz w:val="32"/>
          <w:szCs w:val="32"/>
          <w:highlight w:val="none"/>
        </w:rPr>
        <w:t>年度一般公共预算财政拨款支出预算</w:t>
      </w:r>
      <w:r>
        <w:rPr>
          <w:rFonts w:hint="eastAsia" w:ascii="Times New Roman" w:hAnsi="Times New Roman" w:eastAsia="仿宋_GB2312" w:cs="仿宋"/>
          <w:sz w:val="32"/>
          <w:szCs w:val="32"/>
          <w:highlight w:val="none"/>
          <w:u w:val="single"/>
          <w:lang w:val="en-US" w:eastAsia="zh-CN"/>
        </w:rPr>
        <w:t>1122.2</w:t>
      </w:r>
      <w:r>
        <w:rPr>
          <w:rFonts w:hint="eastAsia" w:ascii="Times New Roman" w:hAnsi="Times New Roman" w:eastAsia="仿宋_GB2312" w:cs="仿宋"/>
          <w:sz w:val="32"/>
          <w:szCs w:val="32"/>
          <w:highlight w:val="none"/>
        </w:rPr>
        <w:t>万元，与上年相比增加</w:t>
      </w:r>
      <w:r>
        <w:rPr>
          <w:rFonts w:hint="eastAsia" w:ascii="Times New Roman" w:hAnsi="Times New Roman" w:eastAsia="仿宋_GB2312" w:cs="仿宋"/>
          <w:sz w:val="32"/>
          <w:szCs w:val="32"/>
          <w:highlight w:val="none"/>
          <w:u w:val="single"/>
          <w:lang w:val="en-US" w:eastAsia="zh-CN"/>
        </w:rPr>
        <w:t>128.66</w:t>
      </w:r>
      <w:r>
        <w:rPr>
          <w:rFonts w:hint="eastAsia" w:ascii="Times New Roman" w:hAnsi="Times New Roman" w:eastAsia="仿宋_GB2312" w:cs="仿宋"/>
          <w:sz w:val="32"/>
          <w:szCs w:val="32"/>
          <w:highlight w:val="none"/>
        </w:rPr>
        <w:t>万元，增长</w:t>
      </w:r>
      <w:r>
        <w:rPr>
          <w:rFonts w:hint="eastAsia" w:ascii="Times New Roman" w:hAnsi="Times New Roman" w:eastAsia="仿宋_GB2312" w:cs="仿宋"/>
          <w:sz w:val="32"/>
          <w:szCs w:val="32"/>
          <w:highlight w:val="none"/>
          <w:u w:val="single"/>
          <w:lang w:val="en-US" w:eastAsia="zh-CN"/>
        </w:rPr>
        <w:t>12.95</w:t>
      </w:r>
      <w:r>
        <w:rPr>
          <w:rFonts w:hint="eastAsia" w:ascii="Times New Roman" w:hAnsi="Times New Roman" w:eastAsia="仿宋_GB2312" w:cs="仿宋"/>
          <w:sz w:val="32"/>
          <w:szCs w:val="32"/>
          <w:highlight w:val="none"/>
          <w:lang w:eastAsia="zh-CN"/>
        </w:rPr>
        <w:t>%</w:t>
      </w:r>
      <w:r>
        <w:rPr>
          <w:rFonts w:hint="eastAsia" w:ascii="Times New Roman" w:hAnsi="Times New Roman" w:eastAsia="仿宋_GB2312" w:cs="仿宋"/>
          <w:sz w:val="32"/>
          <w:szCs w:val="32"/>
          <w:highlight w:val="none"/>
        </w:rPr>
        <w:t>。具体情况如下：</w:t>
      </w:r>
    </w:p>
    <w:p>
      <w:pPr>
        <w:pStyle w:val="10"/>
        <w:tabs>
          <w:tab w:val="left" w:pos="2671"/>
          <w:tab w:val="left" w:pos="5000"/>
          <w:tab w:val="left" w:pos="6190"/>
        </w:tabs>
        <w:spacing w:after="0" w:line="600" w:lineRule="exact"/>
        <w:ind w:firstLine="643" w:firstLineChars="200"/>
        <w:rPr>
          <w:rFonts w:hint="eastAsia" w:ascii="楷体_GB2312" w:hAnsi="楷体_GB2312" w:eastAsia="楷体_GB2312" w:cs="楷体_GB2312"/>
          <w:b/>
          <w:bCs/>
          <w:sz w:val="32"/>
          <w:szCs w:val="32"/>
          <w:highlight w:val="none"/>
          <w:lang w:val="en-US" w:eastAsia="zh-CN"/>
        </w:rPr>
      </w:pPr>
      <w:r>
        <w:rPr>
          <w:rFonts w:hint="eastAsia" w:ascii="楷体_GB2312" w:hAnsi="楷体_GB2312" w:eastAsia="楷体_GB2312" w:cs="楷体_GB2312"/>
          <w:b/>
          <w:bCs/>
          <w:sz w:val="32"/>
          <w:szCs w:val="32"/>
          <w:highlight w:val="none"/>
          <w:lang w:val="en-US" w:eastAsia="zh-CN"/>
        </w:rPr>
        <w:t>（一）社会保障和就业支出（类）</w:t>
      </w:r>
    </w:p>
    <w:p>
      <w:pPr>
        <w:pStyle w:val="10"/>
        <w:tabs>
          <w:tab w:val="left" w:pos="2671"/>
          <w:tab w:val="left" w:pos="5000"/>
          <w:tab w:val="left" w:pos="6190"/>
        </w:tabs>
        <w:spacing w:after="0" w:line="600" w:lineRule="exact"/>
        <w:ind w:firstLine="640" w:firstLineChars="200"/>
        <w:rPr>
          <w:rFonts w:hint="eastAsia" w:ascii="Times New Roman" w:hAnsi="Times New Roman" w:eastAsia="仿宋_GB2312" w:cs="仿宋"/>
          <w:sz w:val="32"/>
          <w:szCs w:val="32"/>
          <w:highlight w:val="none"/>
          <w:lang w:val="en-US" w:eastAsia="zh-CN"/>
        </w:rPr>
      </w:pPr>
      <w:r>
        <w:rPr>
          <w:rFonts w:hint="eastAsia" w:ascii="Times New Roman" w:hAnsi="Times New Roman" w:eastAsia="仿宋_GB2312" w:cs="仿宋"/>
          <w:sz w:val="32"/>
          <w:szCs w:val="32"/>
          <w:highlight w:val="none"/>
          <w:lang w:val="en-US" w:eastAsia="zh-CN"/>
        </w:rPr>
        <w:t>社会保障和就业支出类年初预算数为138.29万元，比上年预算增加</w:t>
      </w:r>
      <w:r>
        <w:rPr>
          <w:rFonts w:hint="eastAsia" w:ascii="Times New Roman" w:hAnsi="Times New Roman" w:eastAsia="仿宋_GB2312" w:cs="仿宋"/>
          <w:sz w:val="32"/>
          <w:szCs w:val="32"/>
          <w:highlight w:val="none"/>
          <w:u w:val="single"/>
          <w:lang w:val="en-US" w:eastAsia="zh-CN"/>
        </w:rPr>
        <w:t>17.73</w:t>
      </w:r>
      <w:r>
        <w:rPr>
          <w:rFonts w:hint="eastAsia" w:ascii="Times New Roman" w:hAnsi="Times New Roman" w:eastAsia="仿宋_GB2312" w:cs="仿宋"/>
          <w:sz w:val="32"/>
          <w:szCs w:val="32"/>
          <w:highlight w:val="none"/>
          <w:lang w:val="en-US" w:eastAsia="zh-CN"/>
        </w:rPr>
        <w:t>万元，增长</w:t>
      </w:r>
      <w:r>
        <w:rPr>
          <w:rFonts w:hint="eastAsia" w:ascii="Times New Roman" w:hAnsi="Times New Roman" w:eastAsia="仿宋_GB2312" w:cs="仿宋"/>
          <w:sz w:val="32"/>
          <w:szCs w:val="32"/>
          <w:highlight w:val="none"/>
          <w:u w:val="single"/>
          <w:lang w:val="en-US" w:eastAsia="zh-CN"/>
        </w:rPr>
        <w:t>14.71</w:t>
      </w:r>
      <w:r>
        <w:rPr>
          <w:rFonts w:hint="eastAsia" w:ascii="Times New Roman" w:hAnsi="Times New Roman" w:eastAsia="仿宋_GB2312" w:cs="仿宋"/>
          <w:sz w:val="32"/>
          <w:szCs w:val="32"/>
          <w:highlight w:val="none"/>
          <w:lang w:val="en-US" w:eastAsia="zh-CN"/>
        </w:rPr>
        <w:t>%。主要原因是</w:t>
      </w:r>
      <w:r>
        <w:rPr>
          <w:rFonts w:hint="eastAsia" w:ascii="Times New Roman" w:hAnsi="Times New Roman" w:eastAsia="仿宋_GB2312" w:cs="Times New Roman"/>
          <w:snapToGrid/>
          <w:kern w:val="2"/>
          <w:sz w:val="32"/>
          <w:szCs w:val="32"/>
          <w:highlight w:val="none"/>
          <w:lang w:val="en-US" w:eastAsia="zh-CN" w:bidi="ar-SA"/>
        </w:rPr>
        <w:t>在编人员</w:t>
      </w:r>
      <w:r>
        <w:rPr>
          <w:rFonts w:hint="eastAsia" w:ascii="Times New Roman" w:hAnsi="Times New Roman" w:eastAsia="仿宋_GB2312" w:cs="仿宋"/>
          <w:sz w:val="32"/>
          <w:szCs w:val="32"/>
          <w:highlight w:val="none"/>
          <w:lang w:val="en-US" w:eastAsia="zh-CN"/>
        </w:rPr>
        <w:t>有所增加。其中：</w:t>
      </w:r>
    </w:p>
    <w:p>
      <w:pPr>
        <w:pStyle w:val="10"/>
        <w:tabs>
          <w:tab w:val="left" w:pos="2671"/>
          <w:tab w:val="left" w:pos="5000"/>
          <w:tab w:val="left" w:pos="6190"/>
        </w:tabs>
        <w:spacing w:after="0" w:line="600" w:lineRule="exact"/>
        <w:ind w:firstLine="640" w:firstLineChars="200"/>
        <w:rPr>
          <w:rFonts w:hint="eastAsia" w:ascii="Times New Roman" w:hAnsi="Times New Roman" w:eastAsia="仿宋_GB2312" w:cs="仿宋"/>
          <w:sz w:val="32"/>
          <w:szCs w:val="32"/>
          <w:highlight w:val="none"/>
          <w:lang w:val="en-US" w:eastAsia="zh-CN"/>
        </w:rPr>
      </w:pPr>
      <w:r>
        <w:rPr>
          <w:rFonts w:hint="eastAsia" w:ascii="Times New Roman" w:hAnsi="Times New Roman" w:eastAsia="仿宋_GB2312" w:cs="仿宋"/>
          <w:sz w:val="32"/>
          <w:szCs w:val="32"/>
          <w:highlight w:val="none"/>
          <w:lang w:val="en-US" w:eastAsia="zh-CN"/>
        </w:rPr>
        <w:t>1.行政事业单位养老支出（款）事业单位离退休（项）</w:t>
      </w:r>
      <w:r>
        <w:rPr>
          <w:rFonts w:hint="eastAsia" w:ascii="Times New Roman" w:hAnsi="Times New Roman" w:eastAsia="仿宋_GB2312" w:cs="仿宋"/>
          <w:sz w:val="32"/>
          <w:szCs w:val="32"/>
          <w:highlight w:val="none"/>
          <w:u w:val="single"/>
          <w:lang w:val="en-US" w:eastAsia="zh-CN"/>
        </w:rPr>
        <w:t>43.57</w:t>
      </w:r>
      <w:r>
        <w:rPr>
          <w:rFonts w:hint="eastAsia" w:ascii="Times New Roman" w:hAnsi="Times New Roman" w:eastAsia="仿宋_GB2312" w:cs="仿宋"/>
          <w:sz w:val="32"/>
          <w:szCs w:val="32"/>
          <w:highlight w:val="none"/>
          <w:lang w:val="en-US" w:eastAsia="zh-CN"/>
        </w:rPr>
        <w:t>万元，比上年预算增加</w:t>
      </w:r>
      <w:r>
        <w:rPr>
          <w:rFonts w:hint="eastAsia" w:ascii="Times New Roman" w:hAnsi="Times New Roman" w:eastAsia="仿宋_GB2312" w:cs="仿宋"/>
          <w:sz w:val="32"/>
          <w:szCs w:val="32"/>
          <w:highlight w:val="none"/>
          <w:u w:val="single"/>
          <w:lang w:val="en-US" w:eastAsia="zh-CN"/>
        </w:rPr>
        <w:t>2.16</w:t>
      </w:r>
      <w:r>
        <w:rPr>
          <w:rFonts w:hint="eastAsia" w:ascii="Times New Roman" w:hAnsi="Times New Roman" w:eastAsia="仿宋_GB2312" w:cs="仿宋"/>
          <w:sz w:val="32"/>
          <w:szCs w:val="32"/>
          <w:highlight w:val="none"/>
          <w:lang w:val="en-US" w:eastAsia="zh-CN"/>
        </w:rPr>
        <w:t>万元，增长</w:t>
      </w:r>
      <w:r>
        <w:rPr>
          <w:rFonts w:hint="eastAsia" w:ascii="Times New Roman" w:hAnsi="Times New Roman" w:eastAsia="仿宋_GB2312" w:cs="仿宋"/>
          <w:sz w:val="32"/>
          <w:szCs w:val="32"/>
          <w:highlight w:val="none"/>
          <w:u w:val="single"/>
          <w:lang w:val="en-US" w:eastAsia="zh-CN"/>
        </w:rPr>
        <w:t>5.22</w:t>
      </w:r>
      <w:r>
        <w:rPr>
          <w:rFonts w:hint="eastAsia" w:ascii="Times New Roman" w:hAnsi="Times New Roman" w:eastAsia="仿宋_GB2312" w:cs="仿宋"/>
          <w:sz w:val="32"/>
          <w:szCs w:val="32"/>
          <w:highlight w:val="none"/>
          <w:lang w:val="en-US" w:eastAsia="zh-CN"/>
        </w:rPr>
        <w:t>%。主要原因是</w:t>
      </w:r>
      <w:r>
        <w:rPr>
          <w:rFonts w:hint="eastAsia" w:eastAsia="仿宋_GB2312" w:cs="仿宋"/>
          <w:sz w:val="32"/>
          <w:szCs w:val="32"/>
          <w:highlight w:val="none"/>
          <w:lang w:val="en-US" w:eastAsia="zh-CN"/>
        </w:rPr>
        <w:t>该款项</w:t>
      </w:r>
      <w:r>
        <w:rPr>
          <w:rFonts w:hint="eastAsia" w:eastAsia="仿宋_GB2312" w:cs="仿宋"/>
          <w:sz w:val="32"/>
          <w:szCs w:val="32"/>
          <w:highlight w:val="none"/>
          <w:lang w:eastAsia="zh-CN"/>
        </w:rPr>
        <w:t>根据系统自动测算生成</w:t>
      </w:r>
      <w:r>
        <w:rPr>
          <w:rFonts w:hint="eastAsia" w:ascii="Times New Roman" w:hAnsi="Times New Roman" w:eastAsia="仿宋_GB2312" w:cs="仿宋"/>
          <w:sz w:val="32"/>
          <w:szCs w:val="32"/>
          <w:highlight w:val="none"/>
          <w:lang w:val="en-US" w:eastAsia="zh-CN"/>
        </w:rPr>
        <w:t>。</w:t>
      </w:r>
    </w:p>
    <w:p>
      <w:pPr>
        <w:pStyle w:val="10"/>
        <w:tabs>
          <w:tab w:val="left" w:pos="2671"/>
          <w:tab w:val="left" w:pos="5000"/>
          <w:tab w:val="left" w:pos="6190"/>
        </w:tabs>
        <w:spacing w:after="0" w:line="600" w:lineRule="exact"/>
        <w:ind w:firstLine="640" w:firstLineChars="200"/>
        <w:rPr>
          <w:rFonts w:hint="eastAsia" w:ascii="Times New Roman" w:hAnsi="Times New Roman" w:eastAsia="仿宋_GB2312" w:cs="仿宋"/>
          <w:sz w:val="32"/>
          <w:szCs w:val="32"/>
          <w:highlight w:val="none"/>
          <w:lang w:val="en-US" w:eastAsia="zh-CN"/>
        </w:rPr>
      </w:pPr>
      <w:r>
        <w:rPr>
          <w:rFonts w:hint="eastAsia" w:ascii="Times New Roman" w:hAnsi="Times New Roman" w:eastAsia="仿宋_GB2312" w:cs="仿宋"/>
          <w:sz w:val="32"/>
          <w:szCs w:val="32"/>
          <w:highlight w:val="none"/>
          <w:lang w:val="en-US" w:eastAsia="zh-CN"/>
        </w:rPr>
        <w:t>2.行政事业单位养老支出（款）机关事业单位基本养老保险缴费（项）</w:t>
      </w:r>
      <w:r>
        <w:rPr>
          <w:rFonts w:hint="eastAsia" w:ascii="Times New Roman" w:hAnsi="Times New Roman" w:eastAsia="仿宋_GB2312" w:cs="仿宋"/>
          <w:sz w:val="32"/>
          <w:szCs w:val="32"/>
          <w:highlight w:val="none"/>
          <w:u w:val="single"/>
          <w:lang w:val="en-US" w:eastAsia="zh-CN"/>
        </w:rPr>
        <w:t>63.14</w:t>
      </w:r>
      <w:r>
        <w:rPr>
          <w:rFonts w:hint="eastAsia" w:ascii="Times New Roman" w:hAnsi="Times New Roman" w:eastAsia="仿宋_GB2312" w:cs="仿宋"/>
          <w:sz w:val="32"/>
          <w:szCs w:val="32"/>
          <w:highlight w:val="none"/>
          <w:lang w:val="en-US" w:eastAsia="zh-CN"/>
        </w:rPr>
        <w:t>万元，比上年预算增加</w:t>
      </w:r>
      <w:r>
        <w:rPr>
          <w:rFonts w:hint="eastAsia" w:ascii="Times New Roman" w:hAnsi="Times New Roman" w:eastAsia="仿宋_GB2312" w:cs="仿宋"/>
          <w:sz w:val="32"/>
          <w:szCs w:val="32"/>
          <w:highlight w:val="none"/>
          <w:u w:val="single"/>
          <w:lang w:val="en-US" w:eastAsia="zh-CN"/>
        </w:rPr>
        <w:t>10.37</w:t>
      </w:r>
      <w:r>
        <w:rPr>
          <w:rFonts w:hint="eastAsia" w:ascii="Times New Roman" w:hAnsi="Times New Roman" w:eastAsia="仿宋_GB2312" w:cs="仿宋"/>
          <w:sz w:val="32"/>
          <w:szCs w:val="32"/>
          <w:highlight w:val="none"/>
          <w:lang w:val="en-US" w:eastAsia="zh-CN"/>
        </w:rPr>
        <w:t>万元，增长</w:t>
      </w:r>
      <w:r>
        <w:rPr>
          <w:rFonts w:hint="eastAsia" w:ascii="Times New Roman" w:hAnsi="Times New Roman" w:eastAsia="仿宋_GB2312" w:cs="仿宋"/>
          <w:sz w:val="32"/>
          <w:szCs w:val="32"/>
          <w:highlight w:val="none"/>
          <w:u w:val="single"/>
          <w:lang w:val="en-US" w:eastAsia="zh-CN"/>
        </w:rPr>
        <w:t>19.66</w:t>
      </w:r>
      <w:r>
        <w:rPr>
          <w:rFonts w:hint="eastAsia" w:ascii="Times New Roman" w:hAnsi="Times New Roman" w:eastAsia="仿宋_GB2312" w:cs="仿宋"/>
          <w:sz w:val="32"/>
          <w:szCs w:val="32"/>
          <w:highlight w:val="none"/>
          <w:lang w:val="en-US" w:eastAsia="zh-CN"/>
        </w:rPr>
        <w:t>%。主要原因是</w:t>
      </w:r>
      <w:r>
        <w:rPr>
          <w:rFonts w:hint="eastAsia" w:ascii="Times New Roman" w:hAnsi="Times New Roman" w:eastAsia="仿宋_GB2312" w:cs="Times New Roman"/>
          <w:snapToGrid/>
          <w:kern w:val="2"/>
          <w:sz w:val="32"/>
          <w:szCs w:val="32"/>
          <w:highlight w:val="none"/>
          <w:lang w:val="en-US" w:eastAsia="zh-CN" w:bidi="ar-SA"/>
        </w:rPr>
        <w:t>上一年末新增在编人员</w:t>
      </w:r>
      <w:r>
        <w:rPr>
          <w:rFonts w:hint="eastAsia" w:eastAsia="仿宋_GB2312" w:cs="Times New Roman"/>
          <w:snapToGrid/>
          <w:kern w:val="2"/>
          <w:sz w:val="32"/>
          <w:szCs w:val="32"/>
          <w:highlight w:val="none"/>
          <w:lang w:val="en-US" w:eastAsia="zh-CN" w:bidi="ar-SA"/>
        </w:rPr>
        <w:t>11</w:t>
      </w:r>
      <w:r>
        <w:rPr>
          <w:rFonts w:hint="eastAsia" w:ascii="Times New Roman" w:hAnsi="Times New Roman" w:eastAsia="仿宋_GB2312" w:cs="Times New Roman"/>
          <w:snapToGrid/>
          <w:kern w:val="2"/>
          <w:sz w:val="32"/>
          <w:szCs w:val="32"/>
          <w:highlight w:val="none"/>
          <w:lang w:val="en-US" w:eastAsia="zh-CN" w:bidi="ar-SA"/>
        </w:rPr>
        <w:t>人</w:t>
      </w:r>
      <w:r>
        <w:rPr>
          <w:rFonts w:hint="eastAsia" w:eastAsia="仿宋_GB2312" w:cs="Times New Roman"/>
          <w:snapToGrid/>
          <w:kern w:val="2"/>
          <w:sz w:val="32"/>
          <w:szCs w:val="32"/>
          <w:highlight w:val="none"/>
          <w:lang w:val="en-US" w:eastAsia="zh-CN" w:bidi="ar-SA"/>
        </w:rPr>
        <w:t>，</w:t>
      </w:r>
      <w:r>
        <w:rPr>
          <w:rFonts w:hint="eastAsia" w:ascii="Times New Roman" w:hAnsi="Times New Roman" w:eastAsia="仿宋_GB2312" w:cs="Times New Roman"/>
          <w:snapToGrid/>
          <w:kern w:val="2"/>
          <w:sz w:val="32"/>
          <w:szCs w:val="32"/>
          <w:highlight w:val="none"/>
          <w:lang w:val="en-US" w:eastAsia="zh-CN" w:bidi="ar-SA"/>
        </w:rPr>
        <w:t>所需</w:t>
      </w:r>
      <w:r>
        <w:rPr>
          <w:rFonts w:hint="eastAsia" w:eastAsia="仿宋_GB2312" w:cs="Times New Roman"/>
          <w:snapToGrid/>
          <w:kern w:val="2"/>
          <w:sz w:val="32"/>
          <w:szCs w:val="32"/>
          <w:highlight w:val="none"/>
          <w:lang w:val="en-US" w:eastAsia="zh-CN" w:bidi="ar-SA"/>
        </w:rPr>
        <w:t>养老保险</w:t>
      </w:r>
      <w:r>
        <w:rPr>
          <w:rFonts w:hint="eastAsia" w:ascii="Times New Roman" w:hAnsi="Times New Roman" w:eastAsia="仿宋_GB2312" w:cs="Times New Roman"/>
          <w:snapToGrid/>
          <w:kern w:val="2"/>
          <w:sz w:val="32"/>
          <w:szCs w:val="32"/>
          <w:highlight w:val="none"/>
          <w:lang w:val="en-US" w:eastAsia="zh-CN" w:bidi="ar-SA"/>
        </w:rPr>
        <w:t>支出随之增长</w:t>
      </w:r>
      <w:r>
        <w:rPr>
          <w:rFonts w:hint="eastAsia" w:ascii="Times New Roman" w:hAnsi="Times New Roman" w:eastAsia="仿宋_GB2312" w:cs="仿宋"/>
          <w:sz w:val="32"/>
          <w:szCs w:val="32"/>
          <w:highlight w:val="none"/>
          <w:lang w:val="en-US" w:eastAsia="zh-CN"/>
        </w:rPr>
        <w:t>。</w:t>
      </w:r>
    </w:p>
    <w:p>
      <w:pPr>
        <w:pStyle w:val="10"/>
        <w:tabs>
          <w:tab w:val="left" w:pos="2671"/>
          <w:tab w:val="left" w:pos="5000"/>
          <w:tab w:val="left" w:pos="6190"/>
        </w:tabs>
        <w:spacing w:after="0" w:line="600" w:lineRule="exact"/>
        <w:ind w:firstLine="640" w:firstLineChars="200"/>
        <w:rPr>
          <w:rFonts w:hint="eastAsia" w:ascii="Times New Roman" w:hAnsi="Times New Roman" w:eastAsia="仿宋_GB2312" w:cs="仿宋"/>
          <w:sz w:val="32"/>
          <w:szCs w:val="32"/>
          <w:highlight w:val="none"/>
          <w:lang w:val="en-US" w:eastAsia="zh-CN"/>
        </w:rPr>
      </w:pPr>
      <w:r>
        <w:rPr>
          <w:rFonts w:hint="eastAsia" w:ascii="Times New Roman" w:hAnsi="Times New Roman" w:eastAsia="仿宋_GB2312" w:cs="仿宋"/>
          <w:sz w:val="32"/>
          <w:szCs w:val="32"/>
          <w:highlight w:val="none"/>
          <w:lang w:val="en-US" w:eastAsia="zh-CN"/>
        </w:rPr>
        <w:t>3.行政事业单位养老支出（款）机关事业单位职业年金缴费支出（项）</w:t>
      </w:r>
      <w:r>
        <w:rPr>
          <w:rFonts w:hint="eastAsia" w:ascii="Times New Roman" w:hAnsi="Times New Roman" w:eastAsia="仿宋_GB2312" w:cs="仿宋"/>
          <w:sz w:val="32"/>
          <w:szCs w:val="32"/>
          <w:highlight w:val="none"/>
          <w:u w:val="single"/>
          <w:lang w:val="en-US" w:eastAsia="zh-CN"/>
        </w:rPr>
        <w:t>31.57</w:t>
      </w:r>
      <w:r>
        <w:rPr>
          <w:rFonts w:hint="eastAsia" w:ascii="Times New Roman" w:hAnsi="Times New Roman" w:eastAsia="仿宋_GB2312" w:cs="仿宋"/>
          <w:sz w:val="32"/>
          <w:szCs w:val="32"/>
          <w:highlight w:val="none"/>
          <w:lang w:val="en-US" w:eastAsia="zh-CN"/>
        </w:rPr>
        <w:t>万元，比上年预算增加</w:t>
      </w:r>
      <w:r>
        <w:rPr>
          <w:rFonts w:hint="eastAsia" w:ascii="Times New Roman" w:hAnsi="Times New Roman" w:eastAsia="仿宋_GB2312" w:cs="仿宋"/>
          <w:sz w:val="32"/>
          <w:szCs w:val="32"/>
          <w:highlight w:val="none"/>
          <w:u w:val="single"/>
          <w:lang w:val="en-US" w:eastAsia="zh-CN"/>
        </w:rPr>
        <w:t>5.19</w:t>
      </w:r>
      <w:r>
        <w:rPr>
          <w:rFonts w:hint="eastAsia" w:ascii="Times New Roman" w:hAnsi="Times New Roman" w:eastAsia="仿宋_GB2312" w:cs="仿宋"/>
          <w:sz w:val="32"/>
          <w:szCs w:val="32"/>
          <w:highlight w:val="none"/>
          <w:lang w:val="en-US" w:eastAsia="zh-CN"/>
        </w:rPr>
        <w:t>万元，增加</w:t>
      </w:r>
      <w:r>
        <w:rPr>
          <w:rFonts w:hint="eastAsia" w:ascii="Times New Roman" w:hAnsi="Times New Roman" w:eastAsia="仿宋_GB2312" w:cs="仿宋"/>
          <w:sz w:val="32"/>
          <w:szCs w:val="32"/>
          <w:highlight w:val="none"/>
          <w:u w:val="single"/>
          <w:lang w:val="en-US" w:eastAsia="zh-CN"/>
        </w:rPr>
        <w:t>19.68</w:t>
      </w:r>
      <w:r>
        <w:rPr>
          <w:rFonts w:hint="eastAsia" w:ascii="Times New Roman" w:hAnsi="Times New Roman" w:eastAsia="仿宋_GB2312" w:cs="仿宋"/>
          <w:sz w:val="32"/>
          <w:szCs w:val="32"/>
          <w:highlight w:val="none"/>
          <w:lang w:val="en-US" w:eastAsia="zh-CN"/>
        </w:rPr>
        <w:t>%。主要原因是</w:t>
      </w:r>
      <w:r>
        <w:rPr>
          <w:rFonts w:hint="eastAsia" w:ascii="Times New Roman" w:hAnsi="Times New Roman" w:eastAsia="仿宋_GB2312" w:cs="Times New Roman"/>
          <w:snapToGrid/>
          <w:kern w:val="2"/>
          <w:sz w:val="32"/>
          <w:szCs w:val="32"/>
          <w:highlight w:val="none"/>
          <w:lang w:val="en-US" w:eastAsia="zh-CN" w:bidi="ar-SA"/>
        </w:rPr>
        <w:t>上一年末新增在编人员</w:t>
      </w:r>
      <w:r>
        <w:rPr>
          <w:rFonts w:hint="eastAsia" w:eastAsia="仿宋_GB2312" w:cs="Times New Roman"/>
          <w:snapToGrid/>
          <w:kern w:val="2"/>
          <w:sz w:val="32"/>
          <w:szCs w:val="32"/>
          <w:highlight w:val="none"/>
          <w:lang w:val="en-US" w:eastAsia="zh-CN" w:bidi="ar-SA"/>
        </w:rPr>
        <w:t>11</w:t>
      </w:r>
      <w:r>
        <w:rPr>
          <w:rFonts w:hint="eastAsia" w:ascii="Times New Roman" w:hAnsi="Times New Roman" w:eastAsia="仿宋_GB2312" w:cs="Times New Roman"/>
          <w:snapToGrid/>
          <w:kern w:val="2"/>
          <w:sz w:val="32"/>
          <w:szCs w:val="32"/>
          <w:highlight w:val="none"/>
          <w:lang w:val="en-US" w:eastAsia="zh-CN" w:bidi="ar-SA"/>
        </w:rPr>
        <w:t>人</w:t>
      </w:r>
      <w:r>
        <w:rPr>
          <w:rFonts w:hint="eastAsia" w:eastAsia="仿宋_GB2312" w:cs="Times New Roman"/>
          <w:snapToGrid/>
          <w:kern w:val="2"/>
          <w:sz w:val="32"/>
          <w:szCs w:val="32"/>
          <w:highlight w:val="none"/>
          <w:lang w:val="en-US" w:eastAsia="zh-CN" w:bidi="ar-SA"/>
        </w:rPr>
        <w:t>，</w:t>
      </w:r>
      <w:r>
        <w:rPr>
          <w:rFonts w:hint="eastAsia" w:ascii="Times New Roman" w:hAnsi="Times New Roman" w:eastAsia="仿宋_GB2312" w:cs="Times New Roman"/>
          <w:snapToGrid/>
          <w:kern w:val="2"/>
          <w:sz w:val="32"/>
          <w:szCs w:val="32"/>
          <w:highlight w:val="none"/>
          <w:lang w:val="en-US" w:eastAsia="zh-CN" w:bidi="ar-SA"/>
        </w:rPr>
        <w:t>所需</w:t>
      </w:r>
      <w:r>
        <w:rPr>
          <w:rFonts w:hint="eastAsia" w:eastAsia="仿宋_GB2312" w:cs="Times New Roman"/>
          <w:snapToGrid/>
          <w:kern w:val="2"/>
          <w:sz w:val="32"/>
          <w:szCs w:val="32"/>
          <w:highlight w:val="none"/>
          <w:lang w:val="en-US" w:eastAsia="zh-CN" w:bidi="ar-SA"/>
        </w:rPr>
        <w:t>职业年金</w:t>
      </w:r>
      <w:r>
        <w:rPr>
          <w:rFonts w:hint="eastAsia" w:ascii="Times New Roman" w:hAnsi="Times New Roman" w:eastAsia="仿宋_GB2312" w:cs="Times New Roman"/>
          <w:snapToGrid/>
          <w:kern w:val="2"/>
          <w:sz w:val="32"/>
          <w:szCs w:val="32"/>
          <w:highlight w:val="none"/>
          <w:lang w:val="en-US" w:eastAsia="zh-CN" w:bidi="ar-SA"/>
        </w:rPr>
        <w:t>支出随之增长</w:t>
      </w:r>
      <w:r>
        <w:rPr>
          <w:rFonts w:hint="eastAsia" w:ascii="Times New Roman" w:hAnsi="Times New Roman" w:eastAsia="仿宋_GB2312" w:cs="仿宋"/>
          <w:sz w:val="32"/>
          <w:szCs w:val="32"/>
          <w:highlight w:val="none"/>
          <w:lang w:val="en-US" w:eastAsia="zh-CN"/>
        </w:rPr>
        <w:t>。</w:t>
      </w:r>
    </w:p>
    <w:p>
      <w:pPr>
        <w:pStyle w:val="10"/>
        <w:tabs>
          <w:tab w:val="left" w:pos="2671"/>
          <w:tab w:val="left" w:pos="5000"/>
          <w:tab w:val="left" w:pos="6190"/>
        </w:tabs>
        <w:spacing w:after="0" w:line="600" w:lineRule="exact"/>
        <w:ind w:firstLine="643" w:firstLineChars="200"/>
        <w:rPr>
          <w:rFonts w:hint="eastAsia" w:ascii="楷体_GB2312" w:hAnsi="楷体_GB2312" w:eastAsia="楷体_GB2312" w:cs="楷体_GB2312"/>
          <w:b/>
          <w:bCs/>
          <w:sz w:val="32"/>
          <w:szCs w:val="32"/>
          <w:highlight w:val="none"/>
          <w:lang w:val="en-US" w:eastAsia="zh-CN"/>
        </w:rPr>
      </w:pPr>
      <w:r>
        <w:rPr>
          <w:rFonts w:hint="eastAsia" w:ascii="楷体_GB2312" w:hAnsi="楷体_GB2312" w:eastAsia="楷体_GB2312" w:cs="楷体_GB2312"/>
          <w:b/>
          <w:bCs/>
          <w:sz w:val="32"/>
          <w:szCs w:val="32"/>
          <w:highlight w:val="none"/>
          <w:lang w:val="en-US" w:eastAsia="zh-CN"/>
        </w:rPr>
        <w:t>（二）卫生健康支出（类）</w:t>
      </w:r>
    </w:p>
    <w:p>
      <w:pPr>
        <w:ind w:firstLine="640" w:firstLineChars="200"/>
        <w:rPr>
          <w:rFonts w:hint="eastAsia" w:ascii="Times New Roman" w:hAnsi="Times New Roman" w:eastAsia="仿宋_GB2312" w:cs="仿宋"/>
          <w:sz w:val="32"/>
          <w:szCs w:val="32"/>
          <w:highlight w:val="none"/>
          <w:lang w:val="en-US" w:eastAsia="zh-CN"/>
        </w:rPr>
      </w:pPr>
      <w:r>
        <w:rPr>
          <w:rFonts w:hint="eastAsia" w:ascii="Times New Roman" w:hAnsi="Times New Roman" w:eastAsia="仿宋_GB2312" w:cs="仿宋"/>
          <w:sz w:val="32"/>
          <w:szCs w:val="32"/>
          <w:highlight w:val="none"/>
          <w:lang w:val="en-US" w:eastAsia="zh-CN"/>
        </w:rPr>
        <w:t>卫生健康支出类年初预算数为</w:t>
      </w:r>
      <w:r>
        <w:rPr>
          <w:rFonts w:hint="eastAsia" w:ascii="Times New Roman" w:hAnsi="Times New Roman" w:eastAsia="仿宋_GB2312" w:cs="仿宋"/>
          <w:sz w:val="32"/>
          <w:szCs w:val="32"/>
          <w:highlight w:val="none"/>
          <w:u w:val="single"/>
          <w:lang w:val="en-US" w:eastAsia="zh-CN"/>
        </w:rPr>
        <w:t>924.14</w:t>
      </w:r>
      <w:r>
        <w:rPr>
          <w:rFonts w:hint="eastAsia" w:ascii="Times New Roman" w:hAnsi="Times New Roman" w:eastAsia="仿宋_GB2312" w:cs="仿宋"/>
          <w:sz w:val="32"/>
          <w:szCs w:val="32"/>
          <w:highlight w:val="none"/>
          <w:lang w:val="en-US" w:eastAsia="zh-CN"/>
        </w:rPr>
        <w:t>万元，比上年预算增加</w:t>
      </w:r>
      <w:r>
        <w:rPr>
          <w:rFonts w:hint="eastAsia" w:ascii="Times New Roman" w:hAnsi="Times New Roman" w:eastAsia="仿宋_GB2312" w:cs="仿宋"/>
          <w:sz w:val="32"/>
          <w:szCs w:val="32"/>
          <w:highlight w:val="none"/>
          <w:u w:val="single"/>
          <w:lang w:val="en-US" w:eastAsia="zh-CN"/>
        </w:rPr>
        <w:t>101.73</w:t>
      </w:r>
      <w:r>
        <w:rPr>
          <w:rFonts w:hint="eastAsia" w:ascii="Times New Roman" w:hAnsi="Times New Roman" w:eastAsia="仿宋_GB2312" w:cs="仿宋"/>
          <w:sz w:val="32"/>
          <w:szCs w:val="32"/>
          <w:highlight w:val="none"/>
          <w:lang w:val="en-US" w:eastAsia="zh-CN"/>
        </w:rPr>
        <w:t>万元，增长</w:t>
      </w:r>
      <w:r>
        <w:rPr>
          <w:rFonts w:hint="eastAsia" w:ascii="Times New Roman" w:hAnsi="Times New Roman" w:eastAsia="仿宋_GB2312" w:cs="仿宋"/>
          <w:sz w:val="32"/>
          <w:szCs w:val="32"/>
          <w:highlight w:val="none"/>
          <w:u w:val="single"/>
          <w:lang w:val="en-US" w:eastAsia="zh-CN"/>
        </w:rPr>
        <w:t>12.37</w:t>
      </w:r>
      <w:r>
        <w:rPr>
          <w:rFonts w:hint="eastAsia" w:ascii="Times New Roman" w:hAnsi="Times New Roman" w:eastAsia="仿宋_GB2312" w:cs="仿宋"/>
          <w:sz w:val="32"/>
          <w:szCs w:val="32"/>
          <w:highlight w:val="none"/>
          <w:lang w:val="en-US" w:eastAsia="zh-CN"/>
        </w:rPr>
        <w:t>%。主要原因</w:t>
      </w:r>
      <w:r>
        <w:rPr>
          <w:rFonts w:hint="eastAsia" w:eastAsia="仿宋_GB2312"/>
          <w:sz w:val="32"/>
          <w:szCs w:val="32"/>
          <w:highlight w:val="none"/>
          <w:lang w:eastAsia="zh-CN"/>
        </w:rPr>
        <w:t>该款项用于</w:t>
      </w:r>
      <w:r>
        <w:rPr>
          <w:rFonts w:hint="eastAsia" w:ascii="Times New Roman" w:hAnsi="Times New Roman" w:eastAsia="仿宋_GB2312" w:cs="Times New Roman"/>
          <w:snapToGrid/>
          <w:kern w:val="2"/>
          <w:sz w:val="32"/>
          <w:szCs w:val="32"/>
          <w:highlight w:val="none"/>
          <w:lang w:val="en-US" w:eastAsia="zh-CN" w:bidi="ar-SA"/>
        </w:rPr>
        <w:t>我单位职工工资福利支出以及机构运行工作经费，上一年末新增在编人员</w:t>
      </w:r>
      <w:r>
        <w:rPr>
          <w:rFonts w:hint="eastAsia" w:eastAsia="仿宋_GB2312" w:cs="Times New Roman"/>
          <w:snapToGrid/>
          <w:kern w:val="2"/>
          <w:sz w:val="32"/>
          <w:szCs w:val="32"/>
          <w:highlight w:val="none"/>
          <w:lang w:val="en-US" w:eastAsia="zh-CN" w:bidi="ar-SA"/>
        </w:rPr>
        <w:t>11</w:t>
      </w:r>
      <w:r>
        <w:rPr>
          <w:rFonts w:hint="eastAsia" w:ascii="Times New Roman" w:hAnsi="Times New Roman" w:eastAsia="仿宋_GB2312" w:cs="Times New Roman"/>
          <w:snapToGrid/>
          <w:kern w:val="2"/>
          <w:sz w:val="32"/>
          <w:szCs w:val="32"/>
          <w:highlight w:val="none"/>
          <w:lang w:val="en-US" w:eastAsia="zh-CN" w:bidi="ar-SA"/>
        </w:rPr>
        <w:t>人，所需工作</w:t>
      </w:r>
      <w:r>
        <w:rPr>
          <w:rFonts w:hint="eastAsia" w:eastAsia="仿宋_GB2312" w:cs="Times New Roman"/>
          <w:snapToGrid/>
          <w:kern w:val="2"/>
          <w:sz w:val="32"/>
          <w:szCs w:val="32"/>
          <w:highlight w:val="none"/>
          <w:lang w:val="en-US" w:eastAsia="zh-CN" w:bidi="ar-SA"/>
        </w:rPr>
        <w:t>经费</w:t>
      </w:r>
      <w:r>
        <w:rPr>
          <w:rFonts w:hint="eastAsia" w:ascii="Times New Roman" w:hAnsi="Times New Roman" w:eastAsia="仿宋_GB2312" w:cs="Times New Roman"/>
          <w:snapToGrid/>
          <w:kern w:val="2"/>
          <w:sz w:val="32"/>
          <w:szCs w:val="32"/>
          <w:highlight w:val="none"/>
          <w:lang w:val="en-US" w:eastAsia="zh-CN" w:bidi="ar-SA"/>
        </w:rPr>
        <w:t>也随之增长</w:t>
      </w:r>
      <w:r>
        <w:rPr>
          <w:rFonts w:eastAsia="仿宋_GB2312"/>
          <w:sz w:val="32"/>
          <w:szCs w:val="32"/>
          <w:highlight w:val="none"/>
        </w:rPr>
        <w:t>。</w:t>
      </w:r>
      <w:r>
        <w:rPr>
          <w:rFonts w:hint="eastAsia" w:ascii="Times New Roman" w:hAnsi="Times New Roman" w:eastAsia="仿宋_GB2312" w:cs="仿宋"/>
          <w:sz w:val="32"/>
          <w:szCs w:val="32"/>
          <w:highlight w:val="none"/>
          <w:lang w:val="en-US" w:eastAsia="zh-CN"/>
        </w:rPr>
        <w:t>其中：</w:t>
      </w:r>
    </w:p>
    <w:p>
      <w:pPr>
        <w:ind w:firstLine="640" w:firstLineChars="200"/>
        <w:rPr>
          <w:rFonts w:hint="eastAsia" w:ascii="Times New Roman" w:hAnsi="Times New Roman" w:eastAsia="仿宋_GB2312" w:cs="仿宋"/>
          <w:sz w:val="32"/>
          <w:szCs w:val="32"/>
          <w:highlight w:val="none"/>
          <w:lang w:val="en-US" w:eastAsia="zh-CN"/>
        </w:rPr>
      </w:pPr>
      <w:r>
        <w:rPr>
          <w:rFonts w:hint="eastAsia" w:ascii="Times New Roman" w:hAnsi="Times New Roman" w:eastAsia="仿宋_GB2312" w:cs="仿宋"/>
          <w:sz w:val="32"/>
          <w:szCs w:val="32"/>
          <w:highlight w:val="none"/>
          <w:lang w:val="en-US" w:eastAsia="zh-CN"/>
        </w:rPr>
        <w:t>1.卫生健康管理事务（款）机关服务（项）</w:t>
      </w:r>
      <w:r>
        <w:rPr>
          <w:rFonts w:hint="eastAsia" w:ascii="Times New Roman" w:hAnsi="Times New Roman" w:eastAsia="仿宋_GB2312" w:cs="仿宋"/>
          <w:sz w:val="32"/>
          <w:szCs w:val="32"/>
          <w:highlight w:val="none"/>
          <w:u w:val="single"/>
          <w:lang w:val="en-US" w:eastAsia="zh-CN"/>
        </w:rPr>
        <w:t>552.07</w:t>
      </w:r>
      <w:r>
        <w:rPr>
          <w:rFonts w:hint="eastAsia" w:ascii="Times New Roman" w:hAnsi="Times New Roman" w:eastAsia="仿宋_GB2312" w:cs="仿宋"/>
          <w:sz w:val="32"/>
          <w:szCs w:val="32"/>
          <w:highlight w:val="none"/>
          <w:lang w:val="en-US" w:eastAsia="zh-CN"/>
        </w:rPr>
        <w:t>万元，比上年预算增加</w:t>
      </w:r>
      <w:r>
        <w:rPr>
          <w:rFonts w:hint="eastAsia" w:ascii="Times New Roman" w:hAnsi="Times New Roman" w:eastAsia="仿宋_GB2312" w:cs="仿宋"/>
          <w:sz w:val="32"/>
          <w:szCs w:val="32"/>
          <w:highlight w:val="none"/>
          <w:u w:val="single"/>
          <w:lang w:val="en-US" w:eastAsia="zh-CN"/>
        </w:rPr>
        <w:t>83.81</w:t>
      </w:r>
      <w:r>
        <w:rPr>
          <w:rFonts w:hint="eastAsia" w:ascii="Times New Roman" w:hAnsi="Times New Roman" w:eastAsia="仿宋_GB2312" w:cs="仿宋"/>
          <w:sz w:val="32"/>
          <w:szCs w:val="32"/>
          <w:highlight w:val="none"/>
          <w:lang w:val="en-US" w:eastAsia="zh-CN"/>
        </w:rPr>
        <w:t>万元，增长</w:t>
      </w:r>
      <w:r>
        <w:rPr>
          <w:rFonts w:hint="eastAsia" w:ascii="Times New Roman" w:hAnsi="Times New Roman" w:eastAsia="仿宋_GB2312" w:cs="仿宋"/>
          <w:sz w:val="32"/>
          <w:szCs w:val="32"/>
          <w:highlight w:val="none"/>
          <w:u w:val="single"/>
          <w:lang w:val="en-US" w:eastAsia="zh-CN"/>
        </w:rPr>
        <w:t>17.9</w:t>
      </w:r>
      <w:r>
        <w:rPr>
          <w:rFonts w:hint="eastAsia" w:ascii="Times New Roman" w:hAnsi="Times New Roman" w:eastAsia="仿宋_GB2312" w:cs="仿宋"/>
          <w:sz w:val="32"/>
          <w:szCs w:val="32"/>
          <w:highlight w:val="none"/>
          <w:lang w:val="en-US" w:eastAsia="zh-CN"/>
        </w:rPr>
        <w:t>%。主要原因是</w:t>
      </w:r>
      <w:r>
        <w:rPr>
          <w:rFonts w:hint="eastAsia" w:ascii="Times New Roman" w:hAnsi="Times New Roman" w:eastAsia="仿宋_GB2312" w:cs="Times New Roman"/>
          <w:snapToGrid/>
          <w:kern w:val="2"/>
          <w:sz w:val="32"/>
          <w:szCs w:val="32"/>
          <w:highlight w:val="none"/>
          <w:lang w:val="en-US" w:eastAsia="zh-CN" w:bidi="ar-SA"/>
        </w:rPr>
        <w:t>上一年末新增在编人员</w:t>
      </w:r>
      <w:r>
        <w:rPr>
          <w:rFonts w:hint="eastAsia" w:eastAsia="仿宋_GB2312" w:cs="Times New Roman"/>
          <w:snapToGrid/>
          <w:kern w:val="2"/>
          <w:sz w:val="32"/>
          <w:szCs w:val="32"/>
          <w:highlight w:val="none"/>
          <w:lang w:val="en-US" w:eastAsia="zh-CN" w:bidi="ar-SA"/>
        </w:rPr>
        <w:t>11</w:t>
      </w:r>
      <w:r>
        <w:rPr>
          <w:rFonts w:hint="eastAsia" w:ascii="Times New Roman" w:hAnsi="Times New Roman" w:eastAsia="仿宋_GB2312" w:cs="Times New Roman"/>
          <w:snapToGrid/>
          <w:kern w:val="2"/>
          <w:sz w:val="32"/>
          <w:szCs w:val="32"/>
          <w:highlight w:val="none"/>
          <w:lang w:val="en-US" w:eastAsia="zh-CN" w:bidi="ar-SA"/>
        </w:rPr>
        <w:t>人</w:t>
      </w:r>
      <w:r>
        <w:rPr>
          <w:rFonts w:hint="eastAsia" w:eastAsia="仿宋_GB2312" w:cs="Times New Roman"/>
          <w:snapToGrid/>
          <w:kern w:val="2"/>
          <w:sz w:val="32"/>
          <w:szCs w:val="32"/>
          <w:highlight w:val="none"/>
          <w:lang w:val="en-US" w:eastAsia="zh-CN" w:bidi="ar-SA"/>
        </w:rPr>
        <w:t>，</w:t>
      </w:r>
      <w:r>
        <w:rPr>
          <w:rFonts w:hint="eastAsia" w:ascii="Times New Roman" w:hAnsi="Times New Roman" w:eastAsia="仿宋_GB2312" w:cs="Times New Roman"/>
          <w:snapToGrid/>
          <w:kern w:val="2"/>
          <w:sz w:val="32"/>
          <w:szCs w:val="32"/>
          <w:highlight w:val="none"/>
          <w:lang w:val="en-US" w:eastAsia="zh-CN" w:bidi="ar-SA"/>
        </w:rPr>
        <w:t>所需工资福利支出随之增长</w:t>
      </w:r>
      <w:r>
        <w:rPr>
          <w:rFonts w:hint="eastAsia" w:ascii="Times New Roman" w:hAnsi="Times New Roman" w:eastAsia="仿宋_GB2312" w:cs="仿宋"/>
          <w:sz w:val="32"/>
          <w:szCs w:val="32"/>
          <w:highlight w:val="none"/>
          <w:lang w:val="en-US" w:eastAsia="zh-CN"/>
        </w:rPr>
        <w:t>。</w:t>
      </w:r>
    </w:p>
    <w:p>
      <w:pPr>
        <w:pStyle w:val="10"/>
        <w:tabs>
          <w:tab w:val="left" w:pos="2671"/>
          <w:tab w:val="left" w:pos="5000"/>
          <w:tab w:val="left" w:pos="6190"/>
        </w:tabs>
        <w:spacing w:after="0" w:line="600" w:lineRule="exact"/>
        <w:ind w:firstLine="640" w:firstLineChars="200"/>
        <w:rPr>
          <w:rFonts w:hint="eastAsia" w:ascii="Times New Roman" w:hAnsi="Times New Roman" w:eastAsia="仿宋_GB2312" w:cs="仿宋"/>
          <w:sz w:val="32"/>
          <w:szCs w:val="32"/>
          <w:highlight w:val="none"/>
          <w:lang w:val="en-US" w:eastAsia="zh-CN"/>
        </w:rPr>
      </w:pPr>
      <w:r>
        <w:rPr>
          <w:rFonts w:hint="eastAsia" w:ascii="Times New Roman" w:hAnsi="Times New Roman" w:eastAsia="仿宋_GB2312" w:cs="仿宋"/>
          <w:sz w:val="32"/>
          <w:szCs w:val="32"/>
          <w:highlight w:val="none"/>
          <w:lang w:val="en-US" w:eastAsia="zh-CN"/>
        </w:rPr>
        <w:t>2.计划生育事务（款）其他计划生育事务支出（项）</w:t>
      </w:r>
      <w:r>
        <w:rPr>
          <w:rFonts w:hint="eastAsia" w:ascii="Times New Roman" w:hAnsi="Times New Roman" w:eastAsia="仿宋_GB2312" w:cs="仿宋"/>
          <w:sz w:val="32"/>
          <w:szCs w:val="32"/>
          <w:highlight w:val="none"/>
          <w:u w:val="single"/>
          <w:lang w:val="en-US" w:eastAsia="zh-CN"/>
        </w:rPr>
        <w:t>320</w:t>
      </w:r>
      <w:r>
        <w:rPr>
          <w:rFonts w:hint="eastAsia" w:ascii="Times New Roman" w:hAnsi="Times New Roman" w:eastAsia="仿宋_GB2312" w:cs="仿宋"/>
          <w:sz w:val="32"/>
          <w:szCs w:val="32"/>
          <w:highlight w:val="none"/>
          <w:lang w:val="en-US" w:eastAsia="zh-CN"/>
        </w:rPr>
        <w:t>万元，比上年预算增加</w:t>
      </w:r>
      <w:r>
        <w:rPr>
          <w:rFonts w:hint="eastAsia" w:ascii="Times New Roman" w:hAnsi="Times New Roman" w:eastAsia="仿宋_GB2312" w:cs="仿宋"/>
          <w:sz w:val="32"/>
          <w:szCs w:val="32"/>
          <w:highlight w:val="none"/>
          <w:u w:val="single"/>
          <w:lang w:val="en-US" w:eastAsia="zh-CN"/>
        </w:rPr>
        <w:t>35</w:t>
      </w:r>
      <w:r>
        <w:rPr>
          <w:rFonts w:hint="eastAsia" w:ascii="Times New Roman" w:hAnsi="Times New Roman" w:eastAsia="仿宋_GB2312" w:cs="仿宋"/>
          <w:sz w:val="32"/>
          <w:szCs w:val="32"/>
          <w:highlight w:val="none"/>
          <w:lang w:val="en-US" w:eastAsia="zh-CN"/>
        </w:rPr>
        <w:t>万元，增加</w:t>
      </w:r>
      <w:r>
        <w:rPr>
          <w:rFonts w:hint="eastAsia" w:ascii="Times New Roman" w:hAnsi="Times New Roman" w:eastAsia="仿宋_GB2312" w:cs="仿宋"/>
          <w:sz w:val="32"/>
          <w:szCs w:val="32"/>
          <w:highlight w:val="none"/>
          <w:u w:val="single"/>
          <w:lang w:val="en-US" w:eastAsia="zh-CN"/>
        </w:rPr>
        <w:t>12.28</w:t>
      </w:r>
      <w:r>
        <w:rPr>
          <w:rFonts w:hint="eastAsia" w:ascii="Times New Roman" w:hAnsi="Times New Roman" w:eastAsia="仿宋_GB2312" w:cs="仿宋"/>
          <w:sz w:val="32"/>
          <w:szCs w:val="32"/>
          <w:highlight w:val="none"/>
          <w:lang w:val="en-US" w:eastAsia="zh-CN"/>
        </w:rPr>
        <w:t>%。主要原因是</w:t>
      </w:r>
      <w:r>
        <w:rPr>
          <w:rFonts w:hint="eastAsia" w:eastAsia="仿宋_GB2312" w:cs="仿宋"/>
          <w:sz w:val="32"/>
          <w:szCs w:val="32"/>
          <w:highlight w:val="none"/>
          <w:lang w:val="en-US" w:eastAsia="zh-CN"/>
        </w:rPr>
        <w:t>上年度开始我单位承接大型医用设备集中采购工作，相应工作经费随之增长</w:t>
      </w:r>
      <w:r>
        <w:rPr>
          <w:rFonts w:hint="eastAsia" w:ascii="Times New Roman" w:hAnsi="Times New Roman" w:eastAsia="仿宋_GB2312" w:cs="仿宋"/>
          <w:sz w:val="32"/>
          <w:szCs w:val="32"/>
          <w:highlight w:val="none"/>
          <w:lang w:val="en-US" w:eastAsia="zh-CN"/>
        </w:rPr>
        <w:t>。</w:t>
      </w:r>
    </w:p>
    <w:p>
      <w:pPr>
        <w:pStyle w:val="10"/>
        <w:tabs>
          <w:tab w:val="left" w:pos="2671"/>
          <w:tab w:val="left" w:pos="5000"/>
          <w:tab w:val="left" w:pos="6190"/>
        </w:tabs>
        <w:spacing w:after="0" w:line="600" w:lineRule="exact"/>
        <w:ind w:firstLine="640" w:firstLineChars="200"/>
        <w:rPr>
          <w:rFonts w:hint="eastAsia" w:ascii="Times New Roman" w:hAnsi="Times New Roman" w:eastAsia="仿宋_GB2312" w:cs="仿宋"/>
          <w:sz w:val="32"/>
          <w:szCs w:val="32"/>
          <w:highlight w:val="none"/>
          <w:lang w:val="en-US" w:eastAsia="zh-CN"/>
        </w:rPr>
      </w:pPr>
      <w:r>
        <w:rPr>
          <w:rFonts w:hint="eastAsia" w:ascii="Times New Roman" w:hAnsi="Times New Roman" w:eastAsia="仿宋_GB2312" w:cs="仿宋"/>
          <w:sz w:val="32"/>
          <w:szCs w:val="32"/>
          <w:highlight w:val="none"/>
          <w:lang w:val="en-US" w:eastAsia="zh-CN"/>
        </w:rPr>
        <w:t>3.行政事业单位医疗（款）事业单位医疗（项）</w:t>
      </w:r>
      <w:r>
        <w:rPr>
          <w:rFonts w:hint="eastAsia" w:ascii="Times New Roman" w:hAnsi="Times New Roman" w:eastAsia="仿宋_GB2312" w:cs="仿宋"/>
          <w:sz w:val="32"/>
          <w:szCs w:val="32"/>
          <w:highlight w:val="none"/>
          <w:u w:val="single"/>
          <w:lang w:val="en-US" w:eastAsia="zh-CN"/>
        </w:rPr>
        <w:t>27.91</w:t>
      </w:r>
      <w:r>
        <w:rPr>
          <w:rFonts w:hint="eastAsia" w:ascii="Times New Roman" w:hAnsi="Times New Roman" w:eastAsia="仿宋_GB2312" w:cs="仿宋"/>
          <w:sz w:val="32"/>
          <w:szCs w:val="32"/>
          <w:highlight w:val="none"/>
          <w:lang w:val="en-US" w:eastAsia="zh-CN"/>
        </w:rPr>
        <w:t>万元，比上年预算增加</w:t>
      </w:r>
      <w:r>
        <w:rPr>
          <w:rFonts w:hint="eastAsia" w:ascii="Times New Roman" w:hAnsi="Times New Roman" w:eastAsia="仿宋_GB2312" w:cs="仿宋"/>
          <w:sz w:val="32"/>
          <w:szCs w:val="32"/>
          <w:highlight w:val="none"/>
          <w:u w:val="single"/>
          <w:lang w:val="en-US" w:eastAsia="zh-CN"/>
        </w:rPr>
        <w:t>4.63</w:t>
      </w:r>
      <w:r>
        <w:rPr>
          <w:rFonts w:hint="eastAsia" w:ascii="Times New Roman" w:hAnsi="Times New Roman" w:eastAsia="仿宋_GB2312" w:cs="仿宋"/>
          <w:sz w:val="32"/>
          <w:szCs w:val="32"/>
          <w:highlight w:val="none"/>
          <w:lang w:val="en-US" w:eastAsia="zh-CN"/>
        </w:rPr>
        <w:t>万元，增长</w:t>
      </w:r>
      <w:r>
        <w:rPr>
          <w:rFonts w:hint="eastAsia" w:ascii="Times New Roman" w:hAnsi="Times New Roman" w:eastAsia="仿宋_GB2312" w:cs="仿宋"/>
          <w:sz w:val="32"/>
          <w:szCs w:val="32"/>
          <w:highlight w:val="none"/>
          <w:u w:val="single"/>
          <w:lang w:val="en-US" w:eastAsia="zh-CN"/>
        </w:rPr>
        <w:t>19.89</w:t>
      </w:r>
      <w:r>
        <w:rPr>
          <w:rFonts w:hint="eastAsia" w:ascii="Times New Roman" w:hAnsi="Times New Roman" w:eastAsia="仿宋_GB2312" w:cs="仿宋"/>
          <w:sz w:val="32"/>
          <w:szCs w:val="32"/>
          <w:highlight w:val="none"/>
          <w:lang w:val="en-US" w:eastAsia="zh-CN"/>
        </w:rPr>
        <w:t>%；公务员医疗补助（项）</w:t>
      </w:r>
      <w:r>
        <w:rPr>
          <w:rFonts w:hint="eastAsia" w:ascii="Times New Roman" w:hAnsi="Times New Roman" w:eastAsia="仿宋_GB2312" w:cs="仿宋"/>
          <w:sz w:val="32"/>
          <w:szCs w:val="32"/>
          <w:highlight w:val="none"/>
          <w:u w:val="single"/>
          <w:lang w:val="en-US" w:eastAsia="zh-CN"/>
        </w:rPr>
        <w:t>24.16</w:t>
      </w:r>
      <w:r>
        <w:rPr>
          <w:rFonts w:hint="eastAsia" w:ascii="Times New Roman" w:hAnsi="Times New Roman" w:eastAsia="仿宋_GB2312" w:cs="仿宋"/>
          <w:sz w:val="32"/>
          <w:szCs w:val="32"/>
          <w:highlight w:val="none"/>
          <w:lang w:val="en-US" w:eastAsia="zh-CN"/>
        </w:rPr>
        <w:t>万元，比上年预算增加</w:t>
      </w:r>
      <w:r>
        <w:rPr>
          <w:rFonts w:hint="eastAsia" w:ascii="Times New Roman" w:hAnsi="Times New Roman" w:eastAsia="仿宋_GB2312" w:cs="仿宋"/>
          <w:sz w:val="32"/>
          <w:szCs w:val="32"/>
          <w:highlight w:val="none"/>
          <w:u w:val="single"/>
          <w:lang w:val="en-US" w:eastAsia="zh-CN"/>
        </w:rPr>
        <w:t>3.29</w:t>
      </w:r>
      <w:r>
        <w:rPr>
          <w:rFonts w:hint="eastAsia" w:ascii="Times New Roman" w:hAnsi="Times New Roman" w:eastAsia="仿宋_GB2312" w:cs="仿宋"/>
          <w:sz w:val="32"/>
          <w:szCs w:val="32"/>
          <w:highlight w:val="none"/>
          <w:lang w:val="en-US" w:eastAsia="zh-CN"/>
        </w:rPr>
        <w:t>万元，增长</w:t>
      </w:r>
      <w:r>
        <w:rPr>
          <w:rFonts w:hint="eastAsia" w:ascii="Times New Roman" w:hAnsi="Times New Roman" w:eastAsia="仿宋_GB2312" w:cs="仿宋"/>
          <w:sz w:val="32"/>
          <w:szCs w:val="32"/>
          <w:highlight w:val="none"/>
          <w:u w:val="single"/>
          <w:lang w:val="en-US" w:eastAsia="zh-CN"/>
        </w:rPr>
        <w:t>15.77</w:t>
      </w:r>
      <w:r>
        <w:rPr>
          <w:rFonts w:hint="eastAsia" w:ascii="Times New Roman" w:hAnsi="Times New Roman" w:eastAsia="仿宋_GB2312" w:cs="仿宋"/>
          <w:sz w:val="32"/>
          <w:szCs w:val="32"/>
          <w:highlight w:val="none"/>
          <w:lang w:val="en-US" w:eastAsia="zh-CN"/>
        </w:rPr>
        <w:t>%。主要原因是</w:t>
      </w:r>
      <w:r>
        <w:rPr>
          <w:rFonts w:hint="eastAsia" w:ascii="Times New Roman" w:hAnsi="Times New Roman" w:eastAsia="仿宋_GB2312" w:cs="Times New Roman"/>
          <w:snapToGrid/>
          <w:kern w:val="2"/>
          <w:sz w:val="32"/>
          <w:szCs w:val="32"/>
          <w:highlight w:val="none"/>
          <w:lang w:val="en-US" w:eastAsia="zh-CN" w:bidi="ar-SA"/>
        </w:rPr>
        <w:t>上一年末新增在编人员</w:t>
      </w:r>
      <w:r>
        <w:rPr>
          <w:rFonts w:hint="eastAsia" w:eastAsia="仿宋_GB2312" w:cs="Times New Roman"/>
          <w:snapToGrid/>
          <w:kern w:val="2"/>
          <w:sz w:val="32"/>
          <w:szCs w:val="32"/>
          <w:highlight w:val="none"/>
          <w:lang w:val="en-US" w:eastAsia="zh-CN" w:bidi="ar-SA"/>
        </w:rPr>
        <w:t>11</w:t>
      </w:r>
      <w:r>
        <w:rPr>
          <w:rFonts w:hint="eastAsia" w:ascii="Times New Roman" w:hAnsi="Times New Roman" w:eastAsia="仿宋_GB2312" w:cs="Times New Roman"/>
          <w:snapToGrid/>
          <w:kern w:val="2"/>
          <w:sz w:val="32"/>
          <w:szCs w:val="32"/>
          <w:highlight w:val="none"/>
          <w:lang w:val="en-US" w:eastAsia="zh-CN" w:bidi="ar-SA"/>
        </w:rPr>
        <w:t>人</w:t>
      </w:r>
      <w:r>
        <w:rPr>
          <w:rFonts w:hint="eastAsia" w:eastAsia="仿宋_GB2312" w:cs="Times New Roman"/>
          <w:snapToGrid/>
          <w:kern w:val="2"/>
          <w:sz w:val="32"/>
          <w:szCs w:val="32"/>
          <w:highlight w:val="none"/>
          <w:lang w:val="en-US" w:eastAsia="zh-CN" w:bidi="ar-SA"/>
        </w:rPr>
        <w:t>，</w:t>
      </w:r>
      <w:r>
        <w:rPr>
          <w:rFonts w:hint="eastAsia" w:ascii="Times New Roman" w:hAnsi="Times New Roman" w:eastAsia="仿宋_GB2312" w:cs="Times New Roman"/>
          <w:snapToGrid/>
          <w:kern w:val="2"/>
          <w:sz w:val="32"/>
          <w:szCs w:val="32"/>
          <w:highlight w:val="none"/>
          <w:lang w:val="en-US" w:eastAsia="zh-CN" w:bidi="ar-SA"/>
        </w:rPr>
        <w:t>所需</w:t>
      </w:r>
      <w:r>
        <w:rPr>
          <w:rFonts w:hint="eastAsia" w:eastAsia="仿宋_GB2312" w:cs="Times New Roman"/>
          <w:snapToGrid/>
          <w:kern w:val="2"/>
          <w:sz w:val="32"/>
          <w:szCs w:val="32"/>
          <w:highlight w:val="none"/>
          <w:lang w:val="en-US" w:eastAsia="zh-CN" w:bidi="ar-SA"/>
        </w:rPr>
        <w:t>医疗保险</w:t>
      </w:r>
      <w:r>
        <w:rPr>
          <w:rFonts w:hint="eastAsia" w:ascii="Times New Roman" w:hAnsi="Times New Roman" w:eastAsia="仿宋_GB2312" w:cs="Times New Roman"/>
          <w:snapToGrid/>
          <w:kern w:val="2"/>
          <w:sz w:val="32"/>
          <w:szCs w:val="32"/>
          <w:highlight w:val="none"/>
          <w:lang w:val="en-US" w:eastAsia="zh-CN" w:bidi="ar-SA"/>
        </w:rPr>
        <w:t>支出随之增长</w:t>
      </w:r>
      <w:r>
        <w:rPr>
          <w:rFonts w:hint="eastAsia" w:ascii="Times New Roman" w:hAnsi="Times New Roman" w:eastAsia="仿宋_GB2312" w:cs="仿宋"/>
          <w:sz w:val="32"/>
          <w:szCs w:val="32"/>
          <w:highlight w:val="none"/>
          <w:lang w:val="en-US" w:eastAsia="zh-CN"/>
        </w:rPr>
        <w:t>。</w:t>
      </w:r>
    </w:p>
    <w:p>
      <w:pPr>
        <w:pStyle w:val="10"/>
        <w:tabs>
          <w:tab w:val="left" w:pos="2671"/>
          <w:tab w:val="left" w:pos="5000"/>
          <w:tab w:val="left" w:pos="6190"/>
        </w:tabs>
        <w:spacing w:after="0" w:line="600" w:lineRule="exact"/>
        <w:ind w:firstLine="643" w:firstLineChars="200"/>
        <w:rPr>
          <w:rFonts w:hint="eastAsia" w:ascii="楷体_GB2312" w:hAnsi="楷体_GB2312" w:eastAsia="楷体_GB2312" w:cs="楷体_GB2312"/>
          <w:b/>
          <w:bCs/>
          <w:sz w:val="32"/>
          <w:szCs w:val="32"/>
          <w:highlight w:val="none"/>
          <w:lang w:val="en-US" w:eastAsia="zh-CN"/>
        </w:rPr>
      </w:pPr>
      <w:r>
        <w:rPr>
          <w:rFonts w:hint="eastAsia" w:ascii="楷体_GB2312" w:hAnsi="楷体_GB2312" w:eastAsia="楷体_GB2312" w:cs="楷体_GB2312"/>
          <w:b/>
          <w:bCs/>
          <w:sz w:val="32"/>
          <w:szCs w:val="32"/>
          <w:highlight w:val="none"/>
          <w:lang w:val="en-US" w:eastAsia="zh-CN"/>
        </w:rPr>
        <w:t>（三）住房保障支出（类）</w:t>
      </w:r>
    </w:p>
    <w:p>
      <w:pPr>
        <w:pStyle w:val="10"/>
        <w:tabs>
          <w:tab w:val="left" w:pos="2671"/>
          <w:tab w:val="left" w:pos="5000"/>
          <w:tab w:val="left" w:pos="6190"/>
        </w:tabs>
        <w:spacing w:after="0" w:line="600" w:lineRule="exact"/>
        <w:ind w:firstLine="640" w:firstLineChars="200"/>
        <w:rPr>
          <w:rFonts w:hint="eastAsia" w:ascii="Times New Roman" w:hAnsi="Times New Roman" w:eastAsia="仿宋_GB2312" w:cs="仿宋"/>
          <w:sz w:val="32"/>
          <w:szCs w:val="32"/>
          <w:highlight w:val="none"/>
          <w:lang w:val="en-US" w:eastAsia="zh-CN"/>
        </w:rPr>
      </w:pPr>
      <w:r>
        <w:rPr>
          <w:rFonts w:hint="eastAsia" w:ascii="Times New Roman" w:hAnsi="Times New Roman" w:eastAsia="仿宋_GB2312" w:cs="仿宋"/>
          <w:sz w:val="32"/>
          <w:szCs w:val="32"/>
          <w:highlight w:val="none"/>
          <w:lang w:val="en-US" w:eastAsia="zh-CN"/>
        </w:rPr>
        <w:t>住房保障支出类年初预算数为</w:t>
      </w:r>
      <w:r>
        <w:rPr>
          <w:rFonts w:hint="eastAsia" w:ascii="Times New Roman" w:hAnsi="Times New Roman" w:eastAsia="仿宋_GB2312" w:cs="仿宋"/>
          <w:sz w:val="32"/>
          <w:szCs w:val="32"/>
          <w:highlight w:val="none"/>
          <w:u w:val="single"/>
          <w:lang w:val="en-US" w:eastAsia="zh-CN"/>
        </w:rPr>
        <w:t>59.76</w:t>
      </w:r>
      <w:r>
        <w:rPr>
          <w:rFonts w:hint="eastAsia" w:ascii="Times New Roman" w:hAnsi="Times New Roman" w:eastAsia="仿宋_GB2312" w:cs="仿宋"/>
          <w:sz w:val="32"/>
          <w:szCs w:val="32"/>
          <w:highlight w:val="none"/>
          <w:lang w:val="en-US" w:eastAsia="zh-CN"/>
        </w:rPr>
        <w:t>万元。比上年预算增加</w:t>
      </w:r>
      <w:r>
        <w:rPr>
          <w:rFonts w:hint="eastAsia" w:ascii="Times New Roman" w:hAnsi="Times New Roman" w:eastAsia="仿宋_GB2312" w:cs="仿宋"/>
          <w:sz w:val="32"/>
          <w:szCs w:val="32"/>
          <w:highlight w:val="none"/>
          <w:u w:val="single"/>
          <w:lang w:val="en-US" w:eastAsia="zh-CN"/>
        </w:rPr>
        <w:t>9.18</w:t>
      </w:r>
      <w:r>
        <w:rPr>
          <w:rFonts w:hint="eastAsia" w:ascii="Times New Roman" w:hAnsi="Times New Roman" w:eastAsia="仿宋_GB2312" w:cs="仿宋"/>
          <w:sz w:val="32"/>
          <w:szCs w:val="32"/>
          <w:highlight w:val="none"/>
          <w:lang w:val="en-US" w:eastAsia="zh-CN"/>
        </w:rPr>
        <w:t>万元，增长</w:t>
      </w:r>
      <w:r>
        <w:rPr>
          <w:rFonts w:hint="eastAsia" w:ascii="Times New Roman" w:hAnsi="Times New Roman" w:eastAsia="仿宋_GB2312" w:cs="仿宋"/>
          <w:sz w:val="32"/>
          <w:szCs w:val="32"/>
          <w:highlight w:val="none"/>
          <w:u w:val="single"/>
          <w:lang w:val="en-US" w:eastAsia="zh-CN"/>
        </w:rPr>
        <w:t>18.15</w:t>
      </w:r>
      <w:r>
        <w:rPr>
          <w:rFonts w:hint="eastAsia" w:ascii="Times New Roman" w:hAnsi="Times New Roman" w:eastAsia="仿宋_GB2312" w:cs="仿宋"/>
          <w:sz w:val="32"/>
          <w:szCs w:val="32"/>
          <w:highlight w:val="none"/>
          <w:lang w:val="en-US" w:eastAsia="zh-CN"/>
        </w:rPr>
        <w:t>%。主要原因是在职人员增加。其中：</w:t>
      </w:r>
    </w:p>
    <w:p>
      <w:pPr>
        <w:pStyle w:val="10"/>
        <w:tabs>
          <w:tab w:val="left" w:pos="2671"/>
          <w:tab w:val="left" w:pos="5000"/>
          <w:tab w:val="left" w:pos="6190"/>
        </w:tabs>
        <w:spacing w:after="0" w:line="600" w:lineRule="exact"/>
        <w:ind w:firstLine="640" w:firstLineChars="200"/>
        <w:rPr>
          <w:rFonts w:hint="eastAsia" w:ascii="Times New Roman" w:hAnsi="Times New Roman" w:eastAsia="仿宋_GB2312" w:cs="仿宋"/>
          <w:sz w:val="32"/>
          <w:szCs w:val="32"/>
          <w:highlight w:val="none"/>
          <w:lang w:val="en-US" w:eastAsia="zh-CN"/>
        </w:rPr>
      </w:pPr>
      <w:r>
        <w:rPr>
          <w:rFonts w:hint="eastAsia" w:ascii="Times New Roman" w:hAnsi="Times New Roman" w:eastAsia="仿宋_GB2312" w:cs="仿宋"/>
          <w:sz w:val="32"/>
          <w:szCs w:val="32"/>
          <w:highlight w:val="none"/>
          <w:lang w:val="en-US" w:eastAsia="zh-CN"/>
        </w:rPr>
        <w:t>1.住房改革支出（款）住房公积金（项）</w:t>
      </w:r>
      <w:r>
        <w:rPr>
          <w:rFonts w:hint="eastAsia" w:ascii="Times New Roman" w:hAnsi="Times New Roman" w:eastAsia="仿宋_GB2312" w:cs="仿宋"/>
          <w:sz w:val="32"/>
          <w:szCs w:val="32"/>
          <w:highlight w:val="none"/>
          <w:u w:val="single"/>
          <w:lang w:val="en-US" w:eastAsia="zh-CN"/>
        </w:rPr>
        <w:t>59.76</w:t>
      </w:r>
      <w:r>
        <w:rPr>
          <w:rFonts w:hint="eastAsia" w:ascii="Times New Roman" w:hAnsi="Times New Roman" w:eastAsia="仿宋_GB2312" w:cs="仿宋"/>
          <w:sz w:val="32"/>
          <w:szCs w:val="32"/>
          <w:highlight w:val="none"/>
          <w:lang w:val="en-US" w:eastAsia="zh-CN"/>
        </w:rPr>
        <w:t>万元。比上年预算增加</w:t>
      </w:r>
      <w:r>
        <w:rPr>
          <w:rFonts w:hint="eastAsia" w:ascii="Times New Roman" w:hAnsi="Times New Roman" w:eastAsia="仿宋_GB2312" w:cs="仿宋"/>
          <w:sz w:val="32"/>
          <w:szCs w:val="32"/>
          <w:highlight w:val="none"/>
          <w:u w:val="single"/>
          <w:lang w:val="en-US" w:eastAsia="zh-CN"/>
        </w:rPr>
        <w:t>9.18</w:t>
      </w:r>
      <w:r>
        <w:rPr>
          <w:rFonts w:hint="eastAsia" w:ascii="Times New Roman" w:hAnsi="Times New Roman" w:eastAsia="仿宋_GB2312" w:cs="仿宋"/>
          <w:sz w:val="32"/>
          <w:szCs w:val="32"/>
          <w:highlight w:val="none"/>
          <w:lang w:val="en-US" w:eastAsia="zh-CN"/>
        </w:rPr>
        <w:t>万元，增长</w:t>
      </w:r>
      <w:r>
        <w:rPr>
          <w:rFonts w:hint="eastAsia" w:ascii="Times New Roman" w:hAnsi="Times New Roman" w:eastAsia="仿宋_GB2312" w:cs="仿宋"/>
          <w:sz w:val="32"/>
          <w:szCs w:val="32"/>
          <w:highlight w:val="none"/>
          <w:u w:val="single"/>
          <w:lang w:val="en-US" w:eastAsia="zh-CN"/>
        </w:rPr>
        <w:t>18.15</w:t>
      </w:r>
      <w:r>
        <w:rPr>
          <w:rFonts w:hint="eastAsia" w:ascii="Times New Roman" w:hAnsi="Times New Roman" w:eastAsia="仿宋_GB2312" w:cs="仿宋"/>
          <w:sz w:val="32"/>
          <w:szCs w:val="32"/>
          <w:highlight w:val="none"/>
          <w:lang w:val="en-US" w:eastAsia="zh-CN"/>
        </w:rPr>
        <w:t>%。主要原因是</w:t>
      </w:r>
      <w:r>
        <w:rPr>
          <w:rFonts w:hint="eastAsia" w:ascii="Times New Roman" w:hAnsi="Times New Roman" w:eastAsia="仿宋_GB2312" w:cs="Times New Roman"/>
          <w:snapToGrid/>
          <w:kern w:val="2"/>
          <w:sz w:val="32"/>
          <w:szCs w:val="32"/>
          <w:highlight w:val="none"/>
          <w:lang w:val="en-US" w:eastAsia="zh-CN" w:bidi="ar-SA"/>
        </w:rPr>
        <w:t>上一年末新增在编人员</w:t>
      </w:r>
      <w:r>
        <w:rPr>
          <w:rFonts w:hint="eastAsia" w:eastAsia="仿宋_GB2312" w:cs="Times New Roman"/>
          <w:snapToGrid/>
          <w:kern w:val="2"/>
          <w:sz w:val="32"/>
          <w:szCs w:val="32"/>
          <w:highlight w:val="none"/>
          <w:lang w:val="en-US" w:eastAsia="zh-CN" w:bidi="ar-SA"/>
        </w:rPr>
        <w:t>11</w:t>
      </w:r>
      <w:r>
        <w:rPr>
          <w:rFonts w:hint="eastAsia" w:ascii="Times New Roman" w:hAnsi="Times New Roman" w:eastAsia="仿宋_GB2312" w:cs="Times New Roman"/>
          <w:snapToGrid/>
          <w:kern w:val="2"/>
          <w:sz w:val="32"/>
          <w:szCs w:val="32"/>
          <w:highlight w:val="none"/>
          <w:lang w:val="en-US" w:eastAsia="zh-CN" w:bidi="ar-SA"/>
        </w:rPr>
        <w:t>人</w:t>
      </w:r>
      <w:r>
        <w:rPr>
          <w:rFonts w:hint="eastAsia" w:eastAsia="仿宋_GB2312" w:cs="Times New Roman"/>
          <w:snapToGrid/>
          <w:kern w:val="2"/>
          <w:sz w:val="32"/>
          <w:szCs w:val="32"/>
          <w:highlight w:val="none"/>
          <w:lang w:val="en-US" w:eastAsia="zh-CN" w:bidi="ar-SA"/>
        </w:rPr>
        <w:t>，</w:t>
      </w:r>
      <w:r>
        <w:rPr>
          <w:rFonts w:hint="eastAsia" w:ascii="Times New Roman" w:hAnsi="Times New Roman" w:eastAsia="仿宋_GB2312" w:cs="Times New Roman"/>
          <w:snapToGrid/>
          <w:kern w:val="2"/>
          <w:sz w:val="32"/>
          <w:szCs w:val="32"/>
          <w:highlight w:val="none"/>
          <w:lang w:val="en-US" w:eastAsia="zh-CN" w:bidi="ar-SA"/>
        </w:rPr>
        <w:t>所需</w:t>
      </w:r>
      <w:r>
        <w:rPr>
          <w:rFonts w:hint="eastAsia" w:eastAsia="仿宋_GB2312" w:cs="Times New Roman"/>
          <w:snapToGrid/>
          <w:kern w:val="2"/>
          <w:sz w:val="32"/>
          <w:szCs w:val="32"/>
          <w:highlight w:val="none"/>
          <w:lang w:val="en-US" w:eastAsia="zh-CN" w:bidi="ar-SA"/>
        </w:rPr>
        <w:t>住房公积金</w:t>
      </w:r>
      <w:r>
        <w:rPr>
          <w:rFonts w:hint="eastAsia" w:ascii="Times New Roman" w:hAnsi="Times New Roman" w:eastAsia="仿宋_GB2312" w:cs="Times New Roman"/>
          <w:snapToGrid/>
          <w:kern w:val="2"/>
          <w:sz w:val="32"/>
          <w:szCs w:val="32"/>
          <w:highlight w:val="none"/>
          <w:lang w:val="en-US" w:eastAsia="zh-CN" w:bidi="ar-SA"/>
        </w:rPr>
        <w:t>支出随之增长</w:t>
      </w:r>
      <w:r>
        <w:rPr>
          <w:rFonts w:hint="eastAsia" w:ascii="Times New Roman" w:hAnsi="Times New Roman" w:eastAsia="仿宋_GB2312" w:cs="仿宋"/>
          <w:sz w:val="32"/>
          <w:szCs w:val="32"/>
          <w:highlight w:val="none"/>
          <w:lang w:val="en-US" w:eastAsia="zh-CN"/>
        </w:rPr>
        <w:t>。</w:t>
      </w:r>
    </w:p>
    <w:p>
      <w:pPr>
        <w:spacing w:line="600" w:lineRule="exact"/>
        <w:ind w:left="0" w:leftChars="0" w:firstLine="640" w:firstLineChars="200"/>
        <w:outlineLvl w:val="2"/>
        <w:rPr>
          <w:rFonts w:eastAsia="黑体" w:cs="黑体"/>
          <w:sz w:val="32"/>
          <w:szCs w:val="36"/>
          <w:highlight w:val="none"/>
        </w:rPr>
      </w:pPr>
      <w:r>
        <w:rPr>
          <w:rFonts w:hint="eastAsia" w:eastAsia="黑体" w:cs="黑体"/>
          <w:sz w:val="32"/>
          <w:szCs w:val="36"/>
          <w:highlight w:val="none"/>
        </w:rPr>
        <w:t>六、一般公共预算基本支出预算情况说明</w:t>
      </w:r>
    </w:p>
    <w:p>
      <w:pPr>
        <w:pStyle w:val="10"/>
        <w:tabs>
          <w:tab w:val="left" w:pos="2671"/>
          <w:tab w:val="left" w:pos="5000"/>
          <w:tab w:val="left" w:pos="6190"/>
        </w:tabs>
        <w:spacing w:after="0" w:line="600" w:lineRule="exact"/>
        <w:ind w:firstLine="640" w:firstLineChars="200"/>
        <w:rPr>
          <w:rFonts w:hint="eastAsia" w:ascii="Times New Roman" w:hAnsi="Times New Roman" w:eastAsia="仿宋_GB2312" w:cs="仿宋"/>
          <w:sz w:val="32"/>
          <w:szCs w:val="32"/>
          <w:highlight w:val="none"/>
        </w:rPr>
      </w:pPr>
      <w:r>
        <w:rPr>
          <w:rFonts w:hint="eastAsia" w:ascii="仿宋_GB2312" w:hAnsi="仿宋_GB2312" w:eastAsia="仿宋_GB2312" w:cs="仿宋_GB2312"/>
          <w:snapToGrid w:val="0"/>
          <w:color w:val="000000"/>
          <w:kern w:val="0"/>
          <w:sz w:val="32"/>
          <w:szCs w:val="32"/>
          <w:lang w:val="en-US" w:eastAsia="zh-CN" w:bidi="ar-SA"/>
        </w:rPr>
        <w:t>内蒙古自治区卫生健康委员会综合保障</w:t>
      </w:r>
      <w:r>
        <w:rPr>
          <w:rFonts w:hint="eastAsia" w:ascii="Times New Roman" w:hAnsi="Times New Roman" w:eastAsia="仿宋_GB2312" w:cs="仿宋"/>
          <w:sz w:val="32"/>
          <w:szCs w:val="32"/>
          <w:highlight w:val="none"/>
          <w:lang w:val="en-US" w:eastAsia="zh-CN"/>
        </w:rPr>
        <w:t>中心2026</w:t>
      </w:r>
      <w:r>
        <w:rPr>
          <w:rFonts w:hint="eastAsia" w:ascii="Times New Roman" w:hAnsi="Times New Roman" w:eastAsia="仿宋_GB2312" w:cs="仿宋"/>
          <w:sz w:val="32"/>
          <w:szCs w:val="32"/>
          <w:highlight w:val="none"/>
        </w:rPr>
        <w:t>年度一般公共预算财政拨款基本支出预算</w:t>
      </w:r>
      <w:r>
        <w:rPr>
          <w:rFonts w:hint="eastAsia" w:eastAsia="仿宋_GB2312" w:cs="仿宋"/>
          <w:sz w:val="32"/>
          <w:szCs w:val="32"/>
          <w:highlight w:val="none"/>
          <w:u w:val="single"/>
          <w:lang w:val="en-US" w:eastAsia="zh-CN"/>
        </w:rPr>
        <w:t>802.2</w:t>
      </w:r>
      <w:r>
        <w:rPr>
          <w:rFonts w:hint="eastAsia" w:ascii="Times New Roman" w:hAnsi="Times New Roman" w:eastAsia="仿宋_GB2312" w:cs="仿宋"/>
          <w:sz w:val="32"/>
          <w:szCs w:val="32"/>
          <w:highlight w:val="none"/>
        </w:rPr>
        <w:t>万元，其中：</w:t>
      </w:r>
    </w:p>
    <w:p>
      <w:pPr>
        <w:pStyle w:val="10"/>
        <w:tabs>
          <w:tab w:val="left" w:pos="2671"/>
          <w:tab w:val="left" w:pos="5000"/>
          <w:tab w:val="left" w:pos="6190"/>
        </w:tabs>
        <w:spacing w:after="0" w:line="600" w:lineRule="exact"/>
        <w:ind w:firstLine="643" w:firstLineChars="200"/>
        <w:rPr>
          <w:rFonts w:hint="eastAsia" w:ascii="Times New Roman" w:hAnsi="Times New Roman" w:eastAsia="仿宋_GB2312" w:cs="仿宋"/>
          <w:sz w:val="32"/>
          <w:szCs w:val="32"/>
          <w:highlight w:val="none"/>
        </w:rPr>
      </w:pPr>
      <w:r>
        <w:rPr>
          <w:rFonts w:hint="eastAsia" w:ascii="Times New Roman" w:hAnsi="Times New Roman" w:eastAsia="仿宋_GB2312" w:cs="仿宋"/>
          <w:b/>
          <w:bCs/>
          <w:sz w:val="32"/>
          <w:szCs w:val="32"/>
          <w:highlight w:val="none"/>
        </w:rPr>
        <w:t>（一）人员经费</w:t>
      </w:r>
      <w:r>
        <w:rPr>
          <w:rFonts w:hint="eastAsia" w:eastAsia="仿宋_GB2312" w:cs="仿宋"/>
          <w:b/>
          <w:bCs/>
          <w:sz w:val="32"/>
          <w:szCs w:val="32"/>
          <w:highlight w:val="none"/>
          <w:u w:val="single"/>
          <w:lang w:val="en-US" w:eastAsia="zh-CN"/>
        </w:rPr>
        <w:t>757.25</w:t>
      </w:r>
      <w:r>
        <w:rPr>
          <w:rFonts w:hint="eastAsia" w:ascii="Times New Roman" w:hAnsi="Times New Roman" w:eastAsia="仿宋_GB2312" w:cs="仿宋"/>
          <w:b/>
          <w:bCs/>
          <w:sz w:val="32"/>
          <w:szCs w:val="32"/>
          <w:highlight w:val="none"/>
        </w:rPr>
        <w:t>万元</w:t>
      </w:r>
      <w:r>
        <w:rPr>
          <w:rFonts w:hint="eastAsia" w:ascii="Times New Roman" w:hAnsi="Times New Roman" w:eastAsia="仿宋_GB2312" w:cs="仿宋"/>
          <w:sz w:val="32"/>
          <w:szCs w:val="32"/>
          <w:highlight w:val="none"/>
        </w:rPr>
        <w:t>。主要包括：</w:t>
      </w:r>
      <w:r>
        <w:rPr>
          <w:rFonts w:hint="eastAsia" w:eastAsia="仿宋_GB2312" w:cs="仿宋"/>
          <w:sz w:val="32"/>
          <w:szCs w:val="32"/>
          <w:highlight w:val="none"/>
          <w:lang w:eastAsia="zh-CN"/>
        </w:rPr>
        <w:t>基本工资</w:t>
      </w:r>
      <w:r>
        <w:rPr>
          <w:rFonts w:hint="eastAsia" w:eastAsia="仿宋_GB2312" w:cs="仿宋"/>
          <w:sz w:val="32"/>
          <w:szCs w:val="32"/>
          <w:highlight w:val="none"/>
          <w:lang w:val="en-US" w:eastAsia="zh-CN"/>
        </w:rPr>
        <w:t>199.42</w:t>
      </w:r>
      <w:r>
        <w:rPr>
          <w:rFonts w:hint="eastAsia" w:ascii="Times New Roman" w:hAnsi="Times New Roman" w:eastAsia="仿宋_GB2312" w:cs="仿宋"/>
          <w:sz w:val="32"/>
          <w:szCs w:val="32"/>
          <w:highlight w:val="none"/>
          <w:lang w:val="en-US" w:eastAsia="zh-CN"/>
        </w:rPr>
        <w:t>万元、津贴补贴</w:t>
      </w:r>
      <w:r>
        <w:rPr>
          <w:rFonts w:hint="eastAsia" w:eastAsia="仿宋_GB2312" w:cs="仿宋"/>
          <w:sz w:val="32"/>
          <w:szCs w:val="32"/>
          <w:highlight w:val="none"/>
          <w:lang w:val="en-US" w:eastAsia="zh-CN"/>
        </w:rPr>
        <w:t>85.77</w:t>
      </w:r>
      <w:r>
        <w:rPr>
          <w:rFonts w:hint="eastAsia" w:ascii="Times New Roman" w:hAnsi="Times New Roman" w:eastAsia="仿宋_GB2312" w:cs="仿宋"/>
          <w:sz w:val="32"/>
          <w:szCs w:val="32"/>
          <w:highlight w:val="none"/>
          <w:lang w:val="en-US" w:eastAsia="zh-CN"/>
        </w:rPr>
        <w:t>万元、奖金</w:t>
      </w:r>
      <w:r>
        <w:rPr>
          <w:rFonts w:hint="eastAsia" w:eastAsia="仿宋_GB2312" w:cs="仿宋"/>
          <w:sz w:val="32"/>
          <w:szCs w:val="32"/>
          <w:highlight w:val="none"/>
          <w:lang w:val="en-US" w:eastAsia="zh-CN"/>
        </w:rPr>
        <w:t>52.8</w:t>
      </w:r>
      <w:r>
        <w:rPr>
          <w:rFonts w:hint="eastAsia" w:ascii="Times New Roman" w:hAnsi="Times New Roman" w:eastAsia="仿宋_GB2312" w:cs="仿宋"/>
          <w:sz w:val="32"/>
          <w:szCs w:val="32"/>
          <w:highlight w:val="none"/>
          <w:lang w:val="en-US" w:eastAsia="zh-CN"/>
        </w:rPr>
        <w:t>万元、伙食补助费0万元、绩效工资</w:t>
      </w:r>
      <w:r>
        <w:rPr>
          <w:rFonts w:hint="eastAsia" w:eastAsia="仿宋_GB2312" w:cs="仿宋"/>
          <w:sz w:val="32"/>
          <w:szCs w:val="32"/>
          <w:highlight w:val="none"/>
          <w:lang w:val="en-US" w:eastAsia="zh-CN"/>
        </w:rPr>
        <w:t>166.54</w:t>
      </w:r>
      <w:r>
        <w:rPr>
          <w:rFonts w:hint="eastAsia" w:ascii="Times New Roman" w:hAnsi="Times New Roman" w:eastAsia="仿宋_GB2312" w:cs="仿宋"/>
          <w:sz w:val="32"/>
          <w:szCs w:val="32"/>
          <w:highlight w:val="none"/>
          <w:lang w:val="en-US" w:eastAsia="zh-CN"/>
        </w:rPr>
        <w:t>万元、住房公积金</w:t>
      </w:r>
      <w:r>
        <w:rPr>
          <w:rFonts w:hint="eastAsia" w:eastAsia="仿宋_GB2312" w:cs="仿宋"/>
          <w:sz w:val="32"/>
          <w:szCs w:val="32"/>
          <w:highlight w:val="none"/>
          <w:lang w:val="en-US" w:eastAsia="zh-CN"/>
        </w:rPr>
        <w:t>59.76</w:t>
      </w:r>
      <w:r>
        <w:rPr>
          <w:rFonts w:hint="eastAsia" w:ascii="Times New Roman" w:hAnsi="Times New Roman" w:eastAsia="仿宋_GB2312" w:cs="仿宋"/>
          <w:sz w:val="32"/>
          <w:szCs w:val="32"/>
          <w:highlight w:val="none"/>
          <w:lang w:val="en-US" w:eastAsia="zh-CN"/>
        </w:rPr>
        <w:t>万元、机关事业单位基本养老保险缴费</w:t>
      </w:r>
      <w:r>
        <w:rPr>
          <w:rFonts w:hint="eastAsia" w:eastAsia="仿宋_GB2312" w:cs="仿宋"/>
          <w:sz w:val="32"/>
          <w:szCs w:val="32"/>
          <w:highlight w:val="none"/>
          <w:lang w:val="en-US" w:eastAsia="zh-CN"/>
        </w:rPr>
        <w:t>63.14</w:t>
      </w:r>
      <w:r>
        <w:rPr>
          <w:rFonts w:hint="eastAsia" w:ascii="Times New Roman" w:hAnsi="Times New Roman" w:eastAsia="仿宋_GB2312" w:cs="仿宋"/>
          <w:sz w:val="32"/>
          <w:szCs w:val="32"/>
          <w:highlight w:val="none"/>
          <w:lang w:val="en-US" w:eastAsia="zh-CN"/>
        </w:rPr>
        <w:t>万元、职业年金缴费</w:t>
      </w:r>
      <w:r>
        <w:rPr>
          <w:rFonts w:hint="eastAsia" w:eastAsia="仿宋_GB2312" w:cs="仿宋"/>
          <w:sz w:val="32"/>
          <w:szCs w:val="32"/>
          <w:highlight w:val="none"/>
          <w:lang w:val="en-US" w:eastAsia="zh-CN"/>
        </w:rPr>
        <w:t>31.57</w:t>
      </w:r>
      <w:r>
        <w:rPr>
          <w:rFonts w:hint="eastAsia" w:ascii="Times New Roman" w:hAnsi="Times New Roman" w:eastAsia="仿宋_GB2312" w:cs="仿宋"/>
          <w:sz w:val="32"/>
          <w:szCs w:val="32"/>
          <w:highlight w:val="none"/>
          <w:lang w:val="en-US" w:eastAsia="zh-CN"/>
        </w:rPr>
        <w:t>万元、职工基本医疗保险缴费</w:t>
      </w:r>
      <w:r>
        <w:rPr>
          <w:rFonts w:hint="eastAsia" w:eastAsia="仿宋_GB2312" w:cs="仿宋"/>
          <w:sz w:val="32"/>
          <w:szCs w:val="32"/>
          <w:highlight w:val="none"/>
          <w:lang w:val="en-US" w:eastAsia="zh-CN"/>
        </w:rPr>
        <w:t>27.91</w:t>
      </w:r>
      <w:r>
        <w:rPr>
          <w:rFonts w:hint="eastAsia" w:ascii="Times New Roman" w:hAnsi="Times New Roman" w:eastAsia="仿宋_GB2312" w:cs="仿宋"/>
          <w:sz w:val="32"/>
          <w:szCs w:val="32"/>
          <w:highlight w:val="none"/>
          <w:lang w:val="en-US" w:eastAsia="zh-CN"/>
        </w:rPr>
        <w:t>万元、公务员医疗补助缴费</w:t>
      </w:r>
      <w:r>
        <w:rPr>
          <w:rFonts w:hint="eastAsia" w:eastAsia="仿宋_GB2312" w:cs="仿宋"/>
          <w:sz w:val="32"/>
          <w:szCs w:val="32"/>
          <w:highlight w:val="none"/>
          <w:lang w:val="en-US" w:eastAsia="zh-CN"/>
        </w:rPr>
        <w:t>24.16</w:t>
      </w:r>
      <w:r>
        <w:rPr>
          <w:rFonts w:hint="eastAsia" w:ascii="Times New Roman" w:hAnsi="Times New Roman" w:eastAsia="仿宋_GB2312" w:cs="仿宋"/>
          <w:sz w:val="32"/>
          <w:szCs w:val="32"/>
          <w:highlight w:val="none"/>
          <w:lang w:val="en-US" w:eastAsia="zh-CN"/>
        </w:rPr>
        <w:t>万元、其他社会保障缴费</w:t>
      </w:r>
      <w:r>
        <w:rPr>
          <w:rFonts w:hint="eastAsia" w:eastAsia="仿宋_GB2312" w:cs="仿宋"/>
          <w:sz w:val="32"/>
          <w:szCs w:val="32"/>
          <w:highlight w:val="none"/>
          <w:lang w:val="en-US" w:eastAsia="zh-CN"/>
        </w:rPr>
        <w:t>2.61</w:t>
      </w:r>
      <w:r>
        <w:rPr>
          <w:rFonts w:hint="eastAsia" w:ascii="Times New Roman" w:hAnsi="Times New Roman" w:eastAsia="仿宋_GB2312" w:cs="仿宋"/>
          <w:sz w:val="32"/>
          <w:szCs w:val="32"/>
          <w:highlight w:val="none"/>
          <w:lang w:val="en-US" w:eastAsia="zh-CN"/>
        </w:rPr>
        <w:t>元、医疗费0万元、其他工资福利支出0万元</w:t>
      </w:r>
      <w:r>
        <w:rPr>
          <w:rFonts w:hint="eastAsia" w:ascii="Times New Roman" w:hAnsi="Times New Roman" w:eastAsia="仿宋_GB2312" w:cs="仿宋"/>
          <w:sz w:val="32"/>
          <w:szCs w:val="32"/>
          <w:highlight w:val="none"/>
        </w:rPr>
        <w:t>、离休费</w:t>
      </w:r>
      <w:r>
        <w:rPr>
          <w:rFonts w:hint="eastAsia" w:eastAsia="仿宋_GB2312" w:cs="仿宋"/>
          <w:sz w:val="32"/>
          <w:szCs w:val="32"/>
          <w:highlight w:val="none"/>
          <w:lang w:val="en-US" w:eastAsia="zh-CN"/>
        </w:rPr>
        <w:t>0万元</w:t>
      </w:r>
      <w:r>
        <w:rPr>
          <w:rFonts w:hint="eastAsia" w:ascii="Times New Roman" w:hAnsi="Times New Roman" w:eastAsia="仿宋_GB2312" w:cs="仿宋"/>
          <w:sz w:val="32"/>
          <w:szCs w:val="32"/>
          <w:highlight w:val="none"/>
        </w:rPr>
        <w:t>、退休费</w:t>
      </w:r>
      <w:r>
        <w:rPr>
          <w:rFonts w:hint="eastAsia" w:eastAsia="仿宋_GB2312" w:cs="仿宋"/>
          <w:sz w:val="32"/>
          <w:szCs w:val="32"/>
          <w:highlight w:val="none"/>
          <w:lang w:val="en-US" w:eastAsia="zh-CN"/>
        </w:rPr>
        <w:t>43.57万元</w:t>
      </w:r>
      <w:r>
        <w:rPr>
          <w:rFonts w:hint="eastAsia" w:ascii="Times New Roman" w:hAnsi="Times New Roman" w:eastAsia="仿宋_GB2312" w:cs="仿宋"/>
          <w:sz w:val="32"/>
          <w:szCs w:val="32"/>
          <w:highlight w:val="none"/>
        </w:rPr>
        <w:t>、抚恤金</w:t>
      </w:r>
      <w:r>
        <w:rPr>
          <w:rFonts w:hint="eastAsia" w:ascii="Times New Roman" w:hAnsi="Times New Roman" w:eastAsia="仿宋_GB2312" w:cs="仿宋"/>
          <w:sz w:val="32"/>
          <w:szCs w:val="32"/>
          <w:highlight w:val="none"/>
          <w:lang w:val="en-US" w:eastAsia="zh-CN"/>
        </w:rPr>
        <w:t>0万元</w:t>
      </w:r>
      <w:r>
        <w:rPr>
          <w:rFonts w:hint="eastAsia" w:ascii="Times New Roman" w:hAnsi="Times New Roman" w:eastAsia="仿宋_GB2312" w:cs="仿宋"/>
          <w:sz w:val="32"/>
          <w:szCs w:val="32"/>
          <w:highlight w:val="none"/>
        </w:rPr>
        <w:t>、奖励金</w:t>
      </w:r>
      <w:r>
        <w:rPr>
          <w:rFonts w:hint="eastAsia" w:ascii="Times New Roman" w:hAnsi="Times New Roman" w:eastAsia="仿宋_GB2312" w:cs="仿宋"/>
          <w:sz w:val="32"/>
          <w:szCs w:val="32"/>
          <w:highlight w:val="none"/>
          <w:lang w:val="en-US" w:eastAsia="zh-CN"/>
        </w:rPr>
        <w:t>0万元</w:t>
      </w:r>
      <w:r>
        <w:rPr>
          <w:rFonts w:hint="eastAsia" w:ascii="Times New Roman" w:hAnsi="Times New Roman" w:eastAsia="仿宋_GB2312" w:cs="仿宋"/>
          <w:sz w:val="32"/>
          <w:szCs w:val="32"/>
          <w:highlight w:val="none"/>
        </w:rPr>
        <w:t>、其他对个人和家庭的补助</w:t>
      </w:r>
      <w:r>
        <w:rPr>
          <w:rFonts w:hint="eastAsia" w:eastAsia="仿宋_GB2312" w:cs="仿宋"/>
          <w:sz w:val="32"/>
          <w:szCs w:val="32"/>
          <w:highlight w:val="none"/>
          <w:lang w:val="en-US" w:eastAsia="zh-CN"/>
        </w:rPr>
        <w:t>1.44万元</w:t>
      </w:r>
      <w:r>
        <w:rPr>
          <w:rFonts w:hint="eastAsia" w:ascii="Times New Roman" w:hAnsi="Times New Roman" w:eastAsia="仿宋_GB2312" w:cs="仿宋"/>
          <w:sz w:val="32"/>
          <w:szCs w:val="32"/>
          <w:highlight w:val="none"/>
        </w:rPr>
        <w:t>。</w:t>
      </w:r>
    </w:p>
    <w:p>
      <w:pPr>
        <w:pStyle w:val="10"/>
        <w:spacing w:after="0" w:line="600" w:lineRule="exact"/>
        <w:ind w:left="17" w:leftChars="8" w:firstLine="643" w:firstLineChars="200"/>
        <w:rPr>
          <w:rFonts w:hint="eastAsia" w:ascii="Times New Roman" w:hAnsi="Times New Roman" w:eastAsia="仿宋_GB2312" w:cs="仿宋"/>
          <w:sz w:val="32"/>
          <w:szCs w:val="32"/>
          <w:highlight w:val="none"/>
        </w:rPr>
      </w:pPr>
      <w:r>
        <w:rPr>
          <w:rFonts w:hint="eastAsia" w:ascii="Times New Roman" w:hAnsi="Times New Roman" w:eastAsia="仿宋_GB2312" w:cs="仿宋"/>
          <w:b/>
          <w:bCs/>
          <w:sz w:val="32"/>
          <w:szCs w:val="32"/>
          <w:highlight w:val="none"/>
        </w:rPr>
        <w:t>（二）公用经费</w:t>
      </w:r>
      <w:r>
        <w:rPr>
          <w:rFonts w:hint="eastAsia" w:eastAsia="仿宋_GB2312" w:cs="仿宋"/>
          <w:b/>
          <w:bCs/>
          <w:sz w:val="32"/>
          <w:szCs w:val="32"/>
          <w:highlight w:val="none"/>
          <w:u w:val="single"/>
          <w:lang w:val="en-US" w:eastAsia="zh-CN"/>
        </w:rPr>
        <w:t>44.95</w:t>
      </w:r>
      <w:r>
        <w:rPr>
          <w:rFonts w:hint="eastAsia" w:ascii="Times New Roman" w:hAnsi="Times New Roman" w:eastAsia="仿宋_GB2312" w:cs="仿宋"/>
          <w:b/>
          <w:bCs/>
          <w:sz w:val="32"/>
          <w:szCs w:val="32"/>
          <w:highlight w:val="none"/>
        </w:rPr>
        <w:t>万元</w:t>
      </w:r>
      <w:r>
        <w:rPr>
          <w:rFonts w:hint="eastAsia" w:ascii="Times New Roman" w:hAnsi="Times New Roman" w:eastAsia="仿宋_GB2312" w:cs="仿宋"/>
          <w:sz w:val="32"/>
          <w:szCs w:val="32"/>
          <w:highlight w:val="none"/>
        </w:rPr>
        <w:t>。主要包括</w:t>
      </w:r>
      <w:r>
        <w:rPr>
          <w:rFonts w:hint="eastAsia" w:ascii="Times New Roman" w:hAnsi="Times New Roman" w:eastAsia="仿宋_GB2312" w:cs="仿宋"/>
          <w:sz w:val="32"/>
          <w:szCs w:val="32"/>
          <w:highlight w:val="none"/>
          <w:lang w:val="en-US" w:eastAsia="zh-CN"/>
        </w:rPr>
        <w:t>办公费</w:t>
      </w:r>
      <w:r>
        <w:rPr>
          <w:rFonts w:hint="eastAsia" w:eastAsia="仿宋_GB2312" w:cs="仿宋"/>
          <w:sz w:val="32"/>
          <w:szCs w:val="32"/>
          <w:highlight w:val="none"/>
          <w:lang w:val="en-US" w:eastAsia="zh-CN"/>
        </w:rPr>
        <w:t>0</w:t>
      </w:r>
      <w:r>
        <w:rPr>
          <w:rFonts w:hint="eastAsia" w:ascii="Times New Roman" w:hAnsi="Times New Roman" w:eastAsia="仿宋_GB2312" w:cs="仿宋"/>
          <w:sz w:val="32"/>
          <w:szCs w:val="32"/>
          <w:highlight w:val="none"/>
          <w:lang w:val="en-US" w:eastAsia="zh-CN"/>
        </w:rPr>
        <w:t>万元、印刷费0万元、咨询费0万元、手续费0万元、水费0万元、电费0万元、邮电费2.5万元、取暖费0万元、物业管理费0万元、差旅费0万元、维修（护）费0万元、租赁费0万元、会议费0万元、培训费0万元、公务接待费0万元、专用材料费0万元、劳务费0万元、委托业务费0万元、工会经费1</w:t>
      </w:r>
      <w:r>
        <w:rPr>
          <w:rFonts w:hint="eastAsia" w:eastAsia="仿宋_GB2312" w:cs="仿宋"/>
          <w:sz w:val="32"/>
          <w:szCs w:val="32"/>
          <w:highlight w:val="none"/>
          <w:lang w:val="en-US" w:eastAsia="zh-CN"/>
        </w:rPr>
        <w:t>7.06</w:t>
      </w:r>
      <w:r>
        <w:rPr>
          <w:rFonts w:hint="eastAsia" w:ascii="Times New Roman" w:hAnsi="Times New Roman" w:eastAsia="仿宋_GB2312" w:cs="仿宋"/>
          <w:sz w:val="32"/>
          <w:szCs w:val="32"/>
          <w:highlight w:val="none"/>
          <w:lang w:val="en-US" w:eastAsia="zh-CN"/>
        </w:rPr>
        <w:t>万元、福利费</w:t>
      </w:r>
      <w:r>
        <w:rPr>
          <w:rFonts w:hint="eastAsia" w:eastAsia="仿宋_GB2312" w:cs="仿宋"/>
          <w:sz w:val="32"/>
          <w:szCs w:val="32"/>
          <w:highlight w:val="none"/>
          <w:lang w:val="en-US" w:eastAsia="zh-CN"/>
        </w:rPr>
        <w:t>0</w:t>
      </w:r>
      <w:r>
        <w:rPr>
          <w:rFonts w:hint="eastAsia" w:ascii="Times New Roman" w:hAnsi="Times New Roman" w:eastAsia="仿宋_GB2312" w:cs="仿宋"/>
          <w:sz w:val="32"/>
          <w:szCs w:val="32"/>
          <w:highlight w:val="none"/>
          <w:lang w:val="en-US" w:eastAsia="zh-CN"/>
        </w:rPr>
        <w:t>万元、公务用车运行维护费</w:t>
      </w:r>
      <w:r>
        <w:rPr>
          <w:rFonts w:hint="eastAsia" w:eastAsia="仿宋_GB2312" w:cs="仿宋"/>
          <w:sz w:val="32"/>
          <w:szCs w:val="32"/>
          <w:highlight w:val="none"/>
          <w:lang w:val="en-US" w:eastAsia="zh-CN"/>
        </w:rPr>
        <w:t>6.5</w:t>
      </w:r>
      <w:r>
        <w:rPr>
          <w:rFonts w:hint="eastAsia" w:ascii="Times New Roman" w:hAnsi="Times New Roman" w:eastAsia="仿宋_GB2312" w:cs="仿宋"/>
          <w:sz w:val="32"/>
          <w:szCs w:val="32"/>
          <w:highlight w:val="none"/>
          <w:lang w:val="en-US" w:eastAsia="zh-CN"/>
        </w:rPr>
        <w:t>万元、其他交通费用0万元、其他商品和服务支出</w:t>
      </w:r>
      <w:r>
        <w:rPr>
          <w:rFonts w:hint="eastAsia" w:eastAsia="仿宋_GB2312" w:cs="仿宋"/>
          <w:sz w:val="32"/>
          <w:szCs w:val="32"/>
          <w:highlight w:val="none"/>
          <w:lang w:val="en-US" w:eastAsia="zh-CN"/>
        </w:rPr>
        <w:t>17.45</w:t>
      </w:r>
      <w:r>
        <w:rPr>
          <w:rFonts w:hint="eastAsia" w:ascii="Times New Roman" w:hAnsi="Times New Roman" w:eastAsia="仿宋_GB2312" w:cs="仿宋"/>
          <w:sz w:val="32"/>
          <w:szCs w:val="32"/>
          <w:highlight w:val="none"/>
          <w:lang w:val="en-US" w:eastAsia="zh-CN"/>
        </w:rPr>
        <w:t>万元、办公设备购置0万元、专用设备购置0万元、信息网络及软件购置更新0万元、其他资本性支出0万元等。</w:t>
      </w:r>
    </w:p>
    <w:p>
      <w:pPr>
        <w:spacing w:line="600" w:lineRule="exact"/>
        <w:ind w:left="0" w:leftChars="0" w:firstLine="640" w:firstLineChars="200"/>
        <w:outlineLvl w:val="2"/>
        <w:rPr>
          <w:rFonts w:eastAsia="黑体" w:cs="黑体"/>
          <w:sz w:val="32"/>
          <w:szCs w:val="36"/>
          <w:highlight w:val="none"/>
        </w:rPr>
      </w:pPr>
      <w:r>
        <w:rPr>
          <w:rFonts w:hint="eastAsia" w:eastAsia="黑体" w:cs="黑体"/>
          <w:sz w:val="32"/>
          <w:szCs w:val="36"/>
          <w:highlight w:val="none"/>
        </w:rPr>
        <w:t>七、一般公共预算“三公”经费支出预算情况说明</w:t>
      </w:r>
    </w:p>
    <w:p>
      <w:pPr>
        <w:pStyle w:val="10"/>
        <w:tabs>
          <w:tab w:val="left" w:pos="2671"/>
          <w:tab w:val="left" w:pos="5000"/>
          <w:tab w:val="left" w:pos="6190"/>
        </w:tabs>
        <w:spacing w:after="0" w:line="600" w:lineRule="exact"/>
        <w:ind w:firstLine="640" w:firstLineChars="200"/>
        <w:rPr>
          <w:rFonts w:eastAsia="仿宋_GB2312"/>
          <w:sz w:val="32"/>
          <w:szCs w:val="32"/>
          <w:highlight w:val="none"/>
        </w:rPr>
      </w:pPr>
      <w:r>
        <w:rPr>
          <w:rFonts w:hint="eastAsia" w:ascii="仿宋_GB2312" w:hAnsi="仿宋_GB2312" w:eastAsia="仿宋_GB2312" w:cs="仿宋_GB2312"/>
          <w:snapToGrid w:val="0"/>
          <w:color w:val="000000"/>
          <w:kern w:val="0"/>
          <w:sz w:val="32"/>
          <w:szCs w:val="32"/>
          <w:lang w:val="en-US" w:eastAsia="zh-CN" w:bidi="ar-SA"/>
        </w:rPr>
        <w:t>内蒙古自治区卫生健康委员会综合保障</w:t>
      </w:r>
      <w:r>
        <w:rPr>
          <w:rFonts w:hint="eastAsia" w:ascii="Times New Roman" w:hAnsi="Times New Roman" w:eastAsia="仿宋_GB2312" w:cs="仿宋"/>
          <w:sz w:val="32"/>
          <w:szCs w:val="32"/>
          <w:highlight w:val="none"/>
          <w:lang w:val="en-US" w:eastAsia="zh-CN"/>
        </w:rPr>
        <w:t>中心2026</w:t>
      </w:r>
      <w:r>
        <w:rPr>
          <w:rFonts w:eastAsia="仿宋_GB2312"/>
          <w:sz w:val="32"/>
          <w:szCs w:val="32"/>
          <w:highlight w:val="none"/>
        </w:rPr>
        <w:t>年度一般公共预算拨款安排的“三公”经费预算支出</w:t>
      </w:r>
      <w:r>
        <w:rPr>
          <w:rFonts w:hint="eastAsia" w:eastAsia="仿宋_GB2312"/>
          <w:sz w:val="32"/>
          <w:szCs w:val="32"/>
          <w:highlight w:val="none"/>
          <w:u w:val="single"/>
          <w:lang w:val="en-US" w:eastAsia="zh-CN"/>
        </w:rPr>
        <w:t>6.5</w:t>
      </w:r>
      <w:r>
        <w:rPr>
          <w:rFonts w:eastAsia="仿宋_GB2312"/>
          <w:sz w:val="32"/>
          <w:szCs w:val="32"/>
          <w:highlight w:val="none"/>
        </w:rPr>
        <w:t>万元，其中因公出国（境）费支出</w:t>
      </w:r>
      <w:r>
        <w:rPr>
          <w:rFonts w:hint="eastAsia" w:eastAsia="仿宋_GB2312"/>
          <w:sz w:val="32"/>
          <w:szCs w:val="32"/>
          <w:highlight w:val="none"/>
          <w:u w:val="single"/>
          <w:lang w:val="en-US" w:eastAsia="zh-CN"/>
        </w:rPr>
        <w:t>0</w:t>
      </w:r>
      <w:r>
        <w:rPr>
          <w:rFonts w:eastAsia="仿宋_GB2312"/>
          <w:sz w:val="32"/>
          <w:szCs w:val="32"/>
          <w:highlight w:val="none"/>
        </w:rPr>
        <w:t>万元，占</w:t>
      </w:r>
      <w:r>
        <w:rPr>
          <w:rFonts w:hint="eastAsia" w:eastAsia="仿宋_GB2312"/>
          <w:sz w:val="32"/>
          <w:szCs w:val="32"/>
          <w:highlight w:val="none"/>
          <w:u w:val="single"/>
          <w:lang w:val="en-US" w:eastAsia="zh-CN"/>
        </w:rPr>
        <w:t>0</w:t>
      </w:r>
      <w:r>
        <w:rPr>
          <w:rFonts w:hint="eastAsia" w:ascii="仿宋_GB2312" w:hAnsi="仿宋_GB2312" w:eastAsia="仿宋_GB2312"/>
          <w:sz w:val="32"/>
          <w:szCs w:val="32"/>
          <w:highlight w:val="none"/>
          <w:lang w:eastAsia="zh-CN"/>
        </w:rPr>
        <w:t>%</w:t>
      </w:r>
      <w:r>
        <w:rPr>
          <w:rFonts w:eastAsia="仿宋_GB2312"/>
          <w:sz w:val="32"/>
          <w:szCs w:val="32"/>
          <w:highlight w:val="none"/>
        </w:rPr>
        <w:t>；公务用车购置及运行维护费支出</w:t>
      </w:r>
      <w:r>
        <w:rPr>
          <w:rFonts w:hint="eastAsia" w:eastAsia="仿宋_GB2312"/>
          <w:sz w:val="32"/>
          <w:szCs w:val="32"/>
          <w:highlight w:val="none"/>
          <w:u w:val="single"/>
          <w:lang w:val="en-US" w:eastAsia="zh-CN"/>
        </w:rPr>
        <w:t>6.5</w:t>
      </w:r>
      <w:r>
        <w:rPr>
          <w:rFonts w:eastAsia="仿宋_GB2312"/>
          <w:sz w:val="32"/>
          <w:szCs w:val="32"/>
          <w:highlight w:val="none"/>
        </w:rPr>
        <w:t>万元，占</w:t>
      </w:r>
      <w:r>
        <w:rPr>
          <w:rFonts w:hint="eastAsia" w:eastAsia="仿宋_GB2312"/>
          <w:sz w:val="32"/>
          <w:szCs w:val="32"/>
          <w:highlight w:val="none"/>
          <w:u w:val="single"/>
          <w:lang w:val="en-US" w:eastAsia="zh-CN"/>
        </w:rPr>
        <w:t>100</w:t>
      </w:r>
      <w:r>
        <w:rPr>
          <w:rFonts w:hint="eastAsia" w:ascii="仿宋_GB2312" w:hAnsi="仿宋_GB2312" w:eastAsia="仿宋_GB2312"/>
          <w:sz w:val="32"/>
          <w:szCs w:val="32"/>
          <w:highlight w:val="none"/>
          <w:lang w:eastAsia="zh-CN"/>
        </w:rPr>
        <w:t>%</w:t>
      </w:r>
      <w:r>
        <w:rPr>
          <w:rFonts w:eastAsia="仿宋_GB2312"/>
          <w:sz w:val="32"/>
          <w:szCs w:val="32"/>
          <w:highlight w:val="none"/>
        </w:rPr>
        <w:t>；公务接待费支出</w:t>
      </w:r>
      <w:r>
        <w:rPr>
          <w:rFonts w:hint="eastAsia" w:eastAsia="仿宋_GB2312"/>
          <w:sz w:val="32"/>
          <w:szCs w:val="32"/>
          <w:highlight w:val="none"/>
          <w:u w:val="single"/>
          <w:lang w:val="en-US" w:eastAsia="zh-CN"/>
        </w:rPr>
        <w:t>0</w:t>
      </w:r>
      <w:r>
        <w:rPr>
          <w:rFonts w:eastAsia="仿宋_GB2312"/>
          <w:sz w:val="32"/>
          <w:szCs w:val="32"/>
          <w:highlight w:val="none"/>
        </w:rPr>
        <w:t>万元，占</w:t>
      </w:r>
      <w:r>
        <w:rPr>
          <w:rFonts w:hint="eastAsia" w:eastAsia="仿宋_GB2312"/>
          <w:sz w:val="32"/>
          <w:szCs w:val="32"/>
          <w:highlight w:val="none"/>
          <w:u w:val="single"/>
          <w:lang w:val="en-US" w:eastAsia="zh-CN"/>
        </w:rPr>
        <w:t>0</w:t>
      </w:r>
      <w:r>
        <w:rPr>
          <w:rFonts w:hint="eastAsia" w:ascii="仿宋_GB2312" w:hAnsi="仿宋_GB2312" w:eastAsia="仿宋_GB2312"/>
          <w:sz w:val="32"/>
          <w:szCs w:val="32"/>
          <w:highlight w:val="none"/>
          <w:lang w:eastAsia="zh-CN"/>
        </w:rPr>
        <w:t>%</w:t>
      </w:r>
      <w:r>
        <w:rPr>
          <w:rFonts w:eastAsia="仿宋_GB2312"/>
          <w:sz w:val="32"/>
          <w:szCs w:val="32"/>
          <w:highlight w:val="none"/>
        </w:rPr>
        <w:t>。具体情况如下：</w:t>
      </w:r>
    </w:p>
    <w:p>
      <w:pPr>
        <w:spacing w:line="600" w:lineRule="exact"/>
        <w:ind w:left="29" w:right="96" w:firstLine="650"/>
        <w:rPr>
          <w:rFonts w:eastAsia="仿宋_GB2312"/>
          <w:sz w:val="32"/>
          <w:szCs w:val="32"/>
          <w:highlight w:val="none"/>
        </w:rPr>
      </w:pPr>
      <w:r>
        <w:rPr>
          <w:rFonts w:eastAsia="仿宋_GB2312"/>
          <w:sz w:val="32"/>
          <w:szCs w:val="32"/>
          <w:highlight w:val="none"/>
        </w:rPr>
        <w:t>一般公共预算拨款安排的“三公”经费预算支出</w:t>
      </w:r>
      <w:r>
        <w:rPr>
          <w:rFonts w:hint="eastAsia" w:eastAsia="仿宋_GB2312"/>
          <w:sz w:val="32"/>
          <w:szCs w:val="32"/>
          <w:highlight w:val="none"/>
          <w:u w:val="single"/>
          <w:lang w:val="en-US" w:eastAsia="zh-CN"/>
        </w:rPr>
        <w:t>6.5</w:t>
      </w:r>
      <w:r>
        <w:rPr>
          <w:rFonts w:eastAsia="仿宋_GB2312"/>
          <w:spacing w:val="-55"/>
          <w:sz w:val="32"/>
          <w:szCs w:val="32"/>
          <w:highlight w:val="none"/>
        </w:rPr>
        <w:t xml:space="preserve"> </w:t>
      </w:r>
      <w:r>
        <w:rPr>
          <w:rFonts w:eastAsia="仿宋_GB2312"/>
          <w:spacing w:val="-4"/>
          <w:sz w:val="32"/>
          <w:szCs w:val="32"/>
          <w:highlight w:val="none"/>
        </w:rPr>
        <w:t>万元，比上年预</w:t>
      </w:r>
      <w:r>
        <w:rPr>
          <w:rFonts w:eastAsia="仿宋_GB2312"/>
          <w:spacing w:val="-6"/>
          <w:sz w:val="32"/>
          <w:szCs w:val="32"/>
          <w:highlight w:val="none"/>
        </w:rPr>
        <w:t>算减少</w:t>
      </w:r>
      <w:r>
        <w:rPr>
          <w:rFonts w:hint="eastAsia" w:eastAsia="仿宋_GB2312"/>
          <w:sz w:val="32"/>
          <w:szCs w:val="32"/>
          <w:highlight w:val="none"/>
          <w:u w:val="single"/>
          <w:lang w:val="en-US" w:eastAsia="zh-CN"/>
        </w:rPr>
        <w:t>25.5</w:t>
      </w:r>
      <w:r>
        <w:rPr>
          <w:rFonts w:eastAsia="仿宋_GB2312"/>
          <w:spacing w:val="-6"/>
          <w:sz w:val="32"/>
          <w:szCs w:val="32"/>
          <w:highlight w:val="none"/>
        </w:rPr>
        <w:t>万元，</w:t>
      </w:r>
      <w:r>
        <w:rPr>
          <w:rFonts w:eastAsia="仿宋_GB2312"/>
          <w:sz w:val="32"/>
          <w:szCs w:val="32"/>
          <w:highlight w:val="none"/>
        </w:rPr>
        <w:t>减少</w:t>
      </w:r>
      <w:r>
        <w:rPr>
          <w:rFonts w:hint="eastAsia" w:eastAsia="仿宋_GB2312"/>
          <w:sz w:val="32"/>
          <w:szCs w:val="32"/>
          <w:highlight w:val="none"/>
          <w:u w:val="single"/>
          <w:lang w:val="en-US" w:eastAsia="zh-CN"/>
        </w:rPr>
        <w:t>79.69</w:t>
      </w:r>
      <w:r>
        <w:rPr>
          <w:rFonts w:eastAsia="仿宋_GB2312"/>
          <w:sz w:val="32"/>
          <w:szCs w:val="32"/>
          <w:highlight w:val="none"/>
        </w:rPr>
        <w:tab/>
      </w:r>
      <w:r>
        <w:rPr>
          <w:rFonts w:hint="eastAsia" w:ascii="仿宋_GB2312" w:hAnsi="仿宋_GB2312" w:eastAsia="仿宋_GB2312"/>
          <w:sz w:val="32"/>
          <w:szCs w:val="32"/>
          <w:highlight w:val="none"/>
          <w:lang w:eastAsia="zh-CN"/>
        </w:rPr>
        <w:t>%</w:t>
      </w:r>
      <w:r>
        <w:rPr>
          <w:rFonts w:eastAsia="仿宋_GB2312"/>
          <w:spacing w:val="-6"/>
          <w:sz w:val="32"/>
          <w:szCs w:val="32"/>
          <w:highlight w:val="none"/>
        </w:rPr>
        <w:t>；</w:t>
      </w:r>
      <w:r>
        <w:rPr>
          <w:rFonts w:eastAsia="仿宋_GB2312"/>
          <w:spacing w:val="-4"/>
          <w:sz w:val="32"/>
          <w:szCs w:val="32"/>
          <w:highlight w:val="none"/>
        </w:rPr>
        <w:t>其中：</w:t>
      </w:r>
    </w:p>
    <w:p>
      <w:pPr>
        <w:pStyle w:val="10"/>
        <w:tabs>
          <w:tab w:val="left" w:pos="1389"/>
          <w:tab w:val="left" w:pos="4911"/>
          <w:tab w:val="left" w:pos="6205"/>
        </w:tabs>
        <w:spacing w:after="0" w:line="600" w:lineRule="exact"/>
        <w:ind w:firstLine="640" w:firstLineChars="200"/>
        <w:rPr>
          <w:rFonts w:eastAsia="仿宋_GB2312"/>
          <w:sz w:val="32"/>
          <w:szCs w:val="32"/>
          <w:highlight w:val="none"/>
        </w:rPr>
      </w:pPr>
      <w:r>
        <w:rPr>
          <w:rFonts w:eastAsia="仿宋_GB2312"/>
          <w:sz w:val="32"/>
          <w:szCs w:val="32"/>
          <w:highlight w:val="none"/>
        </w:rPr>
        <w:t>1．因公出国（境）费预算支出</w:t>
      </w:r>
      <w:r>
        <w:rPr>
          <w:rFonts w:hint="eastAsia" w:eastAsia="仿宋_GB2312"/>
          <w:sz w:val="32"/>
          <w:szCs w:val="32"/>
          <w:highlight w:val="none"/>
          <w:u w:val="single"/>
          <w:lang w:val="en-US" w:eastAsia="zh-CN"/>
        </w:rPr>
        <w:t>0</w:t>
      </w:r>
      <w:r>
        <w:rPr>
          <w:rFonts w:eastAsia="仿宋_GB2312"/>
          <w:sz w:val="32"/>
          <w:szCs w:val="32"/>
          <w:highlight w:val="none"/>
        </w:rPr>
        <w:t>万元，</w:t>
      </w:r>
      <w:r>
        <w:rPr>
          <w:rFonts w:hint="eastAsia" w:eastAsia="仿宋_GB2312"/>
          <w:sz w:val="32"/>
          <w:szCs w:val="32"/>
          <w:highlight w:val="none"/>
          <w:lang w:val="en-US" w:eastAsia="zh-CN"/>
        </w:rPr>
        <w:t xml:space="preserve">与上年相比无变化，主要原因是不存在此项内容。 </w:t>
      </w:r>
    </w:p>
    <w:p>
      <w:pPr>
        <w:pStyle w:val="10"/>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2．公务用车购置及运行维护费预算支出</w:t>
      </w:r>
      <w:r>
        <w:rPr>
          <w:rFonts w:hint="eastAsia" w:eastAsia="仿宋_GB2312"/>
          <w:sz w:val="32"/>
          <w:szCs w:val="32"/>
          <w:highlight w:val="none"/>
          <w:u w:val="single"/>
          <w:lang w:val="en-US" w:eastAsia="zh-CN"/>
        </w:rPr>
        <w:t>6.5</w:t>
      </w:r>
      <w:r>
        <w:rPr>
          <w:rFonts w:eastAsia="仿宋_GB2312"/>
          <w:sz w:val="32"/>
          <w:szCs w:val="32"/>
          <w:highlight w:val="none"/>
        </w:rPr>
        <w:t>万元。其中：</w:t>
      </w:r>
    </w:p>
    <w:p>
      <w:pPr>
        <w:pStyle w:val="10"/>
        <w:spacing w:after="0" w:line="600" w:lineRule="exact"/>
        <w:ind w:firstLine="640" w:firstLineChars="200"/>
        <w:rPr>
          <w:rFonts w:eastAsia="仿宋_GB2312"/>
          <w:sz w:val="32"/>
          <w:szCs w:val="32"/>
          <w:highlight w:val="none"/>
        </w:rPr>
      </w:pPr>
      <w:r>
        <w:rPr>
          <w:rFonts w:eastAsia="仿宋_GB2312"/>
          <w:sz w:val="32"/>
          <w:szCs w:val="32"/>
          <w:highlight w:val="none"/>
        </w:rPr>
        <w:t>（1）公务用车购置预算支出</w:t>
      </w:r>
      <w:r>
        <w:rPr>
          <w:rFonts w:hint="eastAsia" w:eastAsia="仿宋_GB2312"/>
          <w:sz w:val="32"/>
          <w:szCs w:val="32"/>
          <w:highlight w:val="none"/>
          <w:u w:val="single"/>
          <w:lang w:val="en-US" w:eastAsia="zh-CN"/>
        </w:rPr>
        <w:t>0</w:t>
      </w:r>
      <w:r>
        <w:rPr>
          <w:rFonts w:eastAsia="仿宋_GB2312"/>
          <w:sz w:val="32"/>
          <w:szCs w:val="32"/>
          <w:highlight w:val="none"/>
        </w:rPr>
        <w:t>万元，比上年预算减少</w:t>
      </w:r>
      <w:r>
        <w:rPr>
          <w:rFonts w:hint="eastAsia" w:eastAsia="仿宋_GB2312"/>
          <w:sz w:val="32"/>
          <w:szCs w:val="32"/>
          <w:highlight w:val="none"/>
          <w:u w:val="single"/>
          <w:lang w:val="en-US" w:eastAsia="zh-CN"/>
        </w:rPr>
        <w:t>25</w:t>
      </w:r>
      <w:r>
        <w:rPr>
          <w:rFonts w:eastAsia="仿宋_GB2312"/>
          <w:sz w:val="32"/>
          <w:szCs w:val="32"/>
          <w:highlight w:val="none"/>
        </w:rPr>
        <w:t>万元，主要原因</w:t>
      </w:r>
      <w:r>
        <w:rPr>
          <w:rFonts w:hint="eastAsia" w:ascii="仿宋_GB2312" w:hAnsi="仿宋_GB2312" w:eastAsia="仿宋_GB2312"/>
          <w:sz w:val="32"/>
          <w:szCs w:val="32"/>
          <w:highlight w:val="none"/>
          <w:lang w:eastAsia="zh-CN"/>
        </w:rPr>
        <w:t>本年度无公务用车购置计划</w:t>
      </w:r>
      <w:r>
        <w:rPr>
          <w:rFonts w:eastAsia="仿宋_GB2312"/>
          <w:sz w:val="32"/>
          <w:szCs w:val="32"/>
          <w:highlight w:val="none"/>
        </w:rPr>
        <w:t>。</w:t>
      </w:r>
    </w:p>
    <w:p>
      <w:pPr>
        <w:pStyle w:val="10"/>
        <w:spacing w:after="0" w:line="600" w:lineRule="exact"/>
        <w:ind w:firstLine="640" w:firstLineChars="200"/>
        <w:rPr>
          <w:rFonts w:eastAsia="仿宋_GB2312"/>
          <w:sz w:val="32"/>
          <w:szCs w:val="32"/>
          <w:highlight w:val="none"/>
        </w:rPr>
      </w:pPr>
      <w:r>
        <w:rPr>
          <w:rFonts w:eastAsia="仿宋_GB2312"/>
          <w:sz w:val="32"/>
          <w:szCs w:val="32"/>
          <w:highlight w:val="none"/>
        </w:rPr>
        <w:t>（2）公务用车运行维护费预算支出</w:t>
      </w:r>
      <w:r>
        <w:rPr>
          <w:rFonts w:hint="eastAsia" w:eastAsia="仿宋_GB2312"/>
          <w:sz w:val="32"/>
          <w:szCs w:val="32"/>
          <w:highlight w:val="none"/>
          <w:u w:val="single"/>
          <w:lang w:val="en-US" w:eastAsia="zh-CN"/>
        </w:rPr>
        <w:t>6.5</w:t>
      </w:r>
      <w:r>
        <w:rPr>
          <w:rFonts w:eastAsia="仿宋_GB2312"/>
          <w:sz w:val="32"/>
          <w:szCs w:val="32"/>
          <w:highlight w:val="none"/>
        </w:rPr>
        <w:t>万元，比上年预算</w:t>
      </w:r>
      <w:r>
        <w:rPr>
          <w:rFonts w:hint="eastAsia" w:eastAsia="仿宋_GB2312"/>
          <w:sz w:val="32"/>
          <w:szCs w:val="32"/>
          <w:highlight w:val="none"/>
          <w:lang w:eastAsia="zh-CN"/>
        </w:rPr>
        <w:t>减少</w:t>
      </w:r>
      <w:r>
        <w:rPr>
          <w:rFonts w:hint="eastAsia" w:eastAsia="仿宋_GB2312"/>
          <w:sz w:val="32"/>
          <w:szCs w:val="32"/>
          <w:highlight w:val="none"/>
          <w:u w:val="single"/>
          <w:lang w:val="en-US" w:eastAsia="zh-CN"/>
        </w:rPr>
        <w:t>0.5</w:t>
      </w:r>
      <w:r>
        <w:rPr>
          <w:rFonts w:eastAsia="仿宋_GB2312"/>
          <w:sz w:val="32"/>
          <w:szCs w:val="32"/>
          <w:highlight w:val="none"/>
        </w:rPr>
        <w:t>万元，主要原因</w:t>
      </w:r>
      <w:r>
        <w:rPr>
          <w:rFonts w:hint="eastAsia" w:ascii="仿宋_GB2312" w:hAnsi="仿宋_GB2312" w:eastAsia="仿宋_GB2312"/>
          <w:sz w:val="32"/>
          <w:szCs w:val="32"/>
          <w:highlight w:val="none"/>
          <w:lang w:eastAsia="zh-CN"/>
        </w:rPr>
        <w:t>上年度更新购置了公务用车，公车维修维护费相应减少</w:t>
      </w:r>
      <w:r>
        <w:rPr>
          <w:rFonts w:eastAsia="仿宋_GB2312"/>
          <w:sz w:val="32"/>
          <w:szCs w:val="32"/>
          <w:highlight w:val="none"/>
        </w:rPr>
        <w:t>。</w:t>
      </w:r>
    </w:p>
    <w:p>
      <w:pPr>
        <w:pStyle w:val="10"/>
        <w:tabs>
          <w:tab w:val="left" w:pos="1389"/>
          <w:tab w:val="left" w:pos="4911"/>
          <w:tab w:val="left" w:pos="6205"/>
        </w:tabs>
        <w:spacing w:after="0" w:line="600" w:lineRule="exact"/>
        <w:ind w:firstLine="640" w:firstLineChars="200"/>
        <w:rPr>
          <w:rFonts w:eastAsia="仿宋_GB2312"/>
          <w:sz w:val="32"/>
          <w:szCs w:val="32"/>
          <w:highlight w:val="none"/>
        </w:rPr>
      </w:pPr>
      <w:r>
        <w:rPr>
          <w:rFonts w:eastAsia="仿宋_GB2312"/>
          <w:sz w:val="32"/>
          <w:szCs w:val="32"/>
          <w:highlight w:val="none"/>
        </w:rPr>
        <w:t>3．公务接待费预算支出</w:t>
      </w:r>
      <w:r>
        <w:rPr>
          <w:rFonts w:hint="eastAsia" w:eastAsia="仿宋_GB2312"/>
          <w:sz w:val="32"/>
          <w:szCs w:val="32"/>
          <w:highlight w:val="none"/>
          <w:u w:val="single"/>
          <w:lang w:val="en-US" w:eastAsia="zh-CN"/>
        </w:rPr>
        <w:t>0</w:t>
      </w:r>
      <w:r>
        <w:rPr>
          <w:rFonts w:eastAsia="仿宋_GB2312"/>
          <w:sz w:val="32"/>
          <w:szCs w:val="32"/>
          <w:highlight w:val="none"/>
        </w:rPr>
        <w:t>万元，</w:t>
      </w:r>
      <w:r>
        <w:rPr>
          <w:rFonts w:hint="eastAsia" w:eastAsia="仿宋_GB2312"/>
          <w:sz w:val="32"/>
          <w:szCs w:val="32"/>
          <w:highlight w:val="none"/>
          <w:lang w:val="en-US" w:eastAsia="zh-CN"/>
        </w:rPr>
        <w:t xml:space="preserve">与上年相比无变化，主要原因是不存在此项内容。 </w:t>
      </w:r>
    </w:p>
    <w:p>
      <w:pPr>
        <w:spacing w:line="600" w:lineRule="exact"/>
        <w:ind w:left="0" w:leftChars="0" w:firstLine="640" w:firstLineChars="200"/>
        <w:outlineLvl w:val="2"/>
        <w:rPr>
          <w:rFonts w:eastAsia="黑体" w:cs="黑体"/>
          <w:sz w:val="32"/>
          <w:szCs w:val="36"/>
          <w:highlight w:val="none"/>
        </w:rPr>
      </w:pPr>
      <w:r>
        <w:rPr>
          <w:rFonts w:hint="eastAsia" w:eastAsia="黑体" w:cs="黑体"/>
          <w:sz w:val="32"/>
          <w:szCs w:val="36"/>
          <w:highlight w:val="none"/>
        </w:rPr>
        <w:t>八、政府性基金预算支出预算情况说明</w:t>
      </w:r>
    </w:p>
    <w:p>
      <w:pPr>
        <w:pStyle w:val="10"/>
        <w:tabs>
          <w:tab w:val="left" w:pos="2671"/>
          <w:tab w:val="left" w:pos="5000"/>
          <w:tab w:val="left" w:pos="6190"/>
        </w:tabs>
        <w:spacing w:after="0" w:line="600" w:lineRule="exact"/>
        <w:ind w:firstLine="640" w:firstLineChars="200"/>
        <w:rPr>
          <w:rFonts w:eastAsia="仿宋_GB2312"/>
          <w:sz w:val="32"/>
          <w:szCs w:val="32"/>
          <w:highlight w:val="none"/>
        </w:rPr>
      </w:pPr>
      <w:r>
        <w:rPr>
          <w:rFonts w:hint="eastAsia" w:ascii="仿宋_GB2312" w:hAnsi="仿宋_GB2312" w:eastAsia="仿宋_GB2312" w:cs="仿宋_GB2312"/>
          <w:snapToGrid w:val="0"/>
          <w:color w:val="000000"/>
          <w:kern w:val="0"/>
          <w:sz w:val="32"/>
          <w:szCs w:val="32"/>
          <w:lang w:val="en-US" w:eastAsia="zh-CN" w:bidi="ar-SA"/>
        </w:rPr>
        <w:t>内蒙古自治区卫生健康委员会综合保障</w:t>
      </w:r>
      <w:r>
        <w:rPr>
          <w:rFonts w:hint="eastAsia" w:ascii="Times New Roman" w:hAnsi="Times New Roman" w:eastAsia="仿宋_GB2312" w:cs="仿宋"/>
          <w:sz w:val="32"/>
          <w:szCs w:val="32"/>
          <w:highlight w:val="none"/>
          <w:lang w:val="en-US" w:eastAsia="zh-CN"/>
        </w:rPr>
        <w:t>中心2026</w:t>
      </w:r>
      <w:r>
        <w:rPr>
          <w:rFonts w:eastAsia="仿宋_GB2312"/>
          <w:sz w:val="32"/>
          <w:szCs w:val="32"/>
          <w:highlight w:val="none"/>
        </w:rPr>
        <w:t>年度政府性基金支出预算支出</w:t>
      </w:r>
      <w:r>
        <w:rPr>
          <w:rFonts w:hint="eastAsia" w:eastAsia="仿宋_GB2312"/>
          <w:sz w:val="32"/>
          <w:szCs w:val="32"/>
          <w:highlight w:val="none"/>
          <w:u w:val="single"/>
          <w:lang w:val="en-US" w:eastAsia="zh-CN"/>
        </w:rPr>
        <w:t>0</w:t>
      </w:r>
      <w:r>
        <w:rPr>
          <w:rFonts w:eastAsia="仿宋_GB2312"/>
          <w:sz w:val="32"/>
          <w:szCs w:val="32"/>
          <w:highlight w:val="none"/>
        </w:rPr>
        <w:t>万元。</w:t>
      </w:r>
      <w:r>
        <w:rPr>
          <w:rFonts w:hint="eastAsia" w:ascii="Times New Roman" w:hAnsi="Times New Roman" w:eastAsia="仿宋_GB2312" w:cs="Times New Roman"/>
          <w:snapToGrid/>
          <w:kern w:val="2"/>
          <w:sz w:val="32"/>
          <w:szCs w:val="32"/>
          <w:highlight w:val="none"/>
          <w:lang w:val="en-US" w:eastAsia="zh-CN" w:bidi="ar-SA"/>
        </w:rPr>
        <w:t>与上年相比无变化，主要原因是我单位无政府性基金</w:t>
      </w:r>
      <w:r>
        <w:rPr>
          <w:rFonts w:hint="eastAsia" w:ascii="Times New Roman" w:hAnsi="Times New Roman" w:eastAsia="仿宋_GB2312" w:cs="仿宋"/>
          <w:sz w:val="32"/>
          <w:szCs w:val="32"/>
          <w:highlight w:val="none"/>
        </w:rPr>
        <w:t>预算支出</w:t>
      </w:r>
      <w:r>
        <w:rPr>
          <w:rFonts w:hint="eastAsia" w:ascii="Times New Roman" w:hAnsi="Times New Roman" w:eastAsia="仿宋_GB2312" w:cs="Times New Roman"/>
          <w:snapToGrid/>
          <w:kern w:val="2"/>
          <w:sz w:val="32"/>
          <w:szCs w:val="32"/>
          <w:highlight w:val="none"/>
          <w:lang w:val="en-US" w:eastAsia="zh-CN" w:bidi="ar-SA"/>
        </w:rPr>
        <w:t>。</w:t>
      </w:r>
    </w:p>
    <w:p>
      <w:pPr>
        <w:spacing w:line="600" w:lineRule="exact"/>
        <w:ind w:left="0" w:leftChars="0" w:firstLine="640" w:firstLineChars="200"/>
        <w:outlineLvl w:val="2"/>
        <w:rPr>
          <w:rFonts w:eastAsia="黑体" w:cs="黑体"/>
          <w:sz w:val="32"/>
          <w:szCs w:val="36"/>
          <w:highlight w:val="none"/>
        </w:rPr>
      </w:pPr>
      <w:r>
        <w:rPr>
          <w:rFonts w:hint="eastAsia" w:eastAsia="黑体" w:cs="黑体"/>
          <w:sz w:val="32"/>
          <w:szCs w:val="36"/>
          <w:highlight w:val="none"/>
        </w:rPr>
        <w:t>九、国有资本经营预算支出预算情况说明</w:t>
      </w:r>
    </w:p>
    <w:p>
      <w:pPr>
        <w:spacing w:line="600" w:lineRule="exact"/>
        <w:ind w:firstLine="640" w:firstLineChars="200"/>
        <w:rPr>
          <w:rFonts w:eastAsia="仿宋_GB2312" w:cstheme="minorBidi"/>
          <w:sz w:val="32"/>
          <w:szCs w:val="32"/>
          <w:highlight w:val="none"/>
        </w:rPr>
      </w:pPr>
      <w:r>
        <w:rPr>
          <w:rFonts w:hint="eastAsia" w:ascii="仿宋_GB2312" w:hAnsi="仿宋_GB2312" w:eastAsia="仿宋_GB2312" w:cs="仿宋_GB2312"/>
          <w:snapToGrid w:val="0"/>
          <w:color w:val="000000"/>
          <w:kern w:val="0"/>
          <w:sz w:val="32"/>
          <w:szCs w:val="32"/>
          <w:lang w:val="en-US" w:eastAsia="zh-CN" w:bidi="ar-SA"/>
        </w:rPr>
        <w:t>内蒙古自治区卫生健康委员会综合保障</w:t>
      </w:r>
      <w:r>
        <w:rPr>
          <w:rFonts w:hint="eastAsia" w:ascii="Times New Roman" w:hAnsi="Times New Roman" w:eastAsia="仿宋_GB2312" w:cs="仿宋"/>
          <w:sz w:val="32"/>
          <w:szCs w:val="32"/>
          <w:highlight w:val="none"/>
          <w:lang w:val="en-US" w:eastAsia="zh-CN"/>
        </w:rPr>
        <w:t>中心2026</w:t>
      </w:r>
      <w:r>
        <w:rPr>
          <w:rFonts w:eastAsia="仿宋_GB2312"/>
          <w:sz w:val="32"/>
          <w:szCs w:val="32"/>
          <w:highlight w:val="none"/>
        </w:rPr>
        <w:t>年度</w:t>
      </w:r>
      <w:r>
        <w:rPr>
          <w:rFonts w:hint="eastAsia" w:eastAsia="仿宋_GB2312" w:cstheme="minorBidi"/>
          <w:sz w:val="32"/>
          <w:szCs w:val="32"/>
          <w:highlight w:val="none"/>
        </w:rPr>
        <w:t>国有资本经营预算支出</w:t>
      </w:r>
      <w:r>
        <w:rPr>
          <w:rFonts w:hint="eastAsia" w:eastAsia="仿宋_GB2312" w:cstheme="minorBidi"/>
          <w:sz w:val="32"/>
          <w:szCs w:val="32"/>
          <w:highlight w:val="none"/>
          <w:u w:val="single"/>
          <w:lang w:val="en-US" w:eastAsia="zh-CN"/>
        </w:rPr>
        <w:t>0</w:t>
      </w:r>
      <w:r>
        <w:rPr>
          <w:rFonts w:hint="eastAsia" w:eastAsia="仿宋_GB2312" w:cstheme="minorBidi"/>
          <w:sz w:val="32"/>
          <w:szCs w:val="32"/>
          <w:highlight w:val="none"/>
        </w:rPr>
        <w:t>万元。</w:t>
      </w:r>
      <w:r>
        <w:rPr>
          <w:rFonts w:hint="eastAsia" w:ascii="Times New Roman" w:hAnsi="Times New Roman" w:eastAsia="仿宋_GB2312" w:cs="Times New Roman"/>
          <w:snapToGrid/>
          <w:kern w:val="2"/>
          <w:sz w:val="32"/>
          <w:szCs w:val="32"/>
          <w:highlight w:val="none"/>
          <w:lang w:val="en-US" w:eastAsia="zh-CN" w:bidi="ar-SA"/>
        </w:rPr>
        <w:t>与上年相比无变化</w:t>
      </w:r>
      <w:r>
        <w:rPr>
          <w:rFonts w:hint="eastAsia" w:eastAsia="仿宋_GB2312" w:cstheme="minorBidi"/>
          <w:sz w:val="32"/>
          <w:szCs w:val="32"/>
          <w:highlight w:val="none"/>
        </w:rPr>
        <w:t>，主要原因</w:t>
      </w:r>
      <w:r>
        <w:rPr>
          <w:rFonts w:hint="eastAsia" w:ascii="Times New Roman" w:hAnsi="Times New Roman" w:eastAsia="仿宋_GB2312" w:cs="Times New Roman"/>
          <w:snapToGrid/>
          <w:kern w:val="2"/>
          <w:sz w:val="32"/>
          <w:szCs w:val="32"/>
          <w:highlight w:val="none"/>
          <w:lang w:val="en-US" w:eastAsia="zh-CN" w:bidi="ar-SA"/>
        </w:rPr>
        <w:t>是</w:t>
      </w:r>
      <w:r>
        <w:rPr>
          <w:rFonts w:hint="eastAsia" w:eastAsia="仿宋_GB2312" w:cstheme="minorBidi"/>
          <w:sz w:val="32"/>
          <w:szCs w:val="32"/>
          <w:highlight w:val="none"/>
        </w:rPr>
        <w:t>本单位无国有资本经营预算支出</w:t>
      </w:r>
      <w:r>
        <w:rPr>
          <w:rFonts w:hint="eastAsia" w:eastAsia="仿宋_GB2312" w:cstheme="minorBidi"/>
          <w:sz w:val="32"/>
          <w:szCs w:val="32"/>
          <w:highlight w:val="none"/>
          <w:lang w:eastAsia="zh-CN"/>
        </w:rPr>
        <w:t>。</w:t>
      </w:r>
    </w:p>
    <w:p>
      <w:pPr>
        <w:spacing w:line="600" w:lineRule="exact"/>
        <w:ind w:left="0" w:leftChars="0" w:firstLine="640" w:firstLineChars="200"/>
        <w:outlineLvl w:val="2"/>
        <w:rPr>
          <w:rFonts w:eastAsia="黑体" w:cs="黑体"/>
          <w:sz w:val="32"/>
          <w:szCs w:val="36"/>
          <w:highlight w:val="none"/>
        </w:rPr>
      </w:pPr>
      <w:r>
        <w:rPr>
          <w:rFonts w:hint="eastAsia" w:eastAsia="黑体" w:cs="黑体"/>
          <w:sz w:val="32"/>
          <w:szCs w:val="36"/>
          <w:highlight w:val="none"/>
        </w:rPr>
        <w:t>十、项目支出预算情况说明</w:t>
      </w:r>
    </w:p>
    <w:p>
      <w:pPr>
        <w:spacing w:line="600" w:lineRule="exact"/>
        <w:ind w:firstLine="640" w:firstLineChars="200"/>
        <w:rPr>
          <w:rFonts w:eastAsia="仿宋_GB2312"/>
          <w:sz w:val="32"/>
          <w:szCs w:val="32"/>
          <w:highlight w:val="none"/>
        </w:rPr>
      </w:pPr>
      <w:r>
        <w:rPr>
          <w:rFonts w:hint="eastAsia" w:ascii="仿宋_GB2312" w:hAnsi="仿宋_GB2312" w:eastAsia="仿宋_GB2312" w:cs="仿宋_GB2312"/>
          <w:snapToGrid w:val="0"/>
          <w:color w:val="000000"/>
          <w:kern w:val="0"/>
          <w:sz w:val="32"/>
          <w:szCs w:val="32"/>
          <w:lang w:val="en-US" w:eastAsia="zh-CN" w:bidi="ar-SA"/>
        </w:rPr>
        <w:t>内蒙古自治区卫生健康委员</w:t>
      </w:r>
      <w:r>
        <w:rPr>
          <w:rFonts w:hint="eastAsia" w:ascii="仿宋_GB2312" w:hAnsi="仿宋_GB2312" w:eastAsia="仿宋_GB2312" w:cs="仿宋_GB2312"/>
          <w:snapToGrid w:val="0"/>
          <w:color w:val="000000"/>
          <w:kern w:val="0"/>
          <w:sz w:val="32"/>
          <w:szCs w:val="32"/>
          <w:u w:val="none"/>
          <w:lang w:val="en-US" w:eastAsia="zh-CN" w:bidi="ar-SA"/>
        </w:rPr>
        <w:t>会综合保障</w:t>
      </w:r>
      <w:r>
        <w:rPr>
          <w:rFonts w:hint="eastAsia" w:ascii="Times New Roman" w:hAnsi="Times New Roman" w:eastAsia="仿宋_GB2312" w:cs="仿宋"/>
          <w:sz w:val="32"/>
          <w:szCs w:val="32"/>
          <w:highlight w:val="none"/>
          <w:u w:val="none"/>
          <w:lang w:val="en-US" w:eastAsia="zh-CN"/>
        </w:rPr>
        <w:t>中心2026</w:t>
      </w:r>
      <w:r>
        <w:rPr>
          <w:rFonts w:eastAsia="仿宋_GB2312"/>
          <w:sz w:val="32"/>
          <w:szCs w:val="32"/>
          <w:highlight w:val="none"/>
          <w:u w:val="none"/>
        </w:rPr>
        <w:t>年度预算安排项目</w:t>
      </w:r>
      <w:r>
        <w:rPr>
          <w:rFonts w:hint="eastAsia" w:eastAsia="仿宋_GB2312"/>
          <w:sz w:val="32"/>
          <w:szCs w:val="32"/>
          <w:highlight w:val="none"/>
          <w:u w:val="none"/>
          <w:lang w:val="en-US" w:eastAsia="zh-CN"/>
        </w:rPr>
        <w:t>4</w:t>
      </w:r>
      <w:r>
        <w:rPr>
          <w:rFonts w:eastAsia="仿宋_GB2312"/>
          <w:sz w:val="32"/>
          <w:szCs w:val="32"/>
          <w:highlight w:val="none"/>
          <w:u w:val="none"/>
        </w:rPr>
        <w:t>个，项目预算总金额</w:t>
      </w:r>
      <w:r>
        <w:rPr>
          <w:rFonts w:hint="eastAsia" w:eastAsia="仿宋_GB2312"/>
          <w:sz w:val="32"/>
          <w:szCs w:val="32"/>
          <w:highlight w:val="none"/>
          <w:u w:val="none"/>
          <w:lang w:val="en-US" w:eastAsia="zh-CN"/>
        </w:rPr>
        <w:t>1491.53</w:t>
      </w:r>
      <w:r>
        <w:rPr>
          <w:rFonts w:eastAsia="仿宋_GB2312"/>
          <w:sz w:val="32"/>
          <w:szCs w:val="32"/>
          <w:highlight w:val="none"/>
          <w:u w:val="none"/>
        </w:rPr>
        <w:t>万元。其中，财政本年拨款金额</w:t>
      </w:r>
      <w:r>
        <w:rPr>
          <w:rFonts w:hint="eastAsia" w:eastAsia="仿宋_GB2312"/>
          <w:sz w:val="32"/>
          <w:szCs w:val="32"/>
          <w:highlight w:val="none"/>
          <w:u w:val="none"/>
          <w:lang w:val="en-US" w:eastAsia="zh-CN"/>
        </w:rPr>
        <w:t>320</w:t>
      </w:r>
      <w:r>
        <w:rPr>
          <w:rFonts w:eastAsia="仿宋_GB2312"/>
          <w:sz w:val="32"/>
          <w:szCs w:val="32"/>
          <w:highlight w:val="none"/>
          <w:u w:val="none"/>
        </w:rPr>
        <w:t>万元，财政拨款结转结余</w:t>
      </w:r>
      <w:r>
        <w:rPr>
          <w:rFonts w:hint="eastAsia" w:eastAsia="仿宋_GB2312"/>
          <w:sz w:val="32"/>
          <w:szCs w:val="32"/>
          <w:highlight w:val="none"/>
          <w:u w:val="none"/>
          <w:lang w:val="en-US" w:eastAsia="zh-CN"/>
        </w:rPr>
        <w:t>0</w:t>
      </w:r>
      <w:r>
        <w:rPr>
          <w:rFonts w:eastAsia="仿宋_GB2312"/>
          <w:sz w:val="32"/>
          <w:szCs w:val="32"/>
          <w:highlight w:val="none"/>
          <w:u w:val="none"/>
        </w:rPr>
        <w:t>万元，财政专户管理资金</w:t>
      </w:r>
      <w:r>
        <w:rPr>
          <w:rFonts w:hint="eastAsia" w:eastAsia="仿宋_GB2312"/>
          <w:sz w:val="32"/>
          <w:szCs w:val="32"/>
          <w:highlight w:val="none"/>
          <w:u w:val="none"/>
          <w:lang w:val="en-US" w:eastAsia="zh-CN"/>
        </w:rPr>
        <w:t>0</w:t>
      </w:r>
      <w:r>
        <w:rPr>
          <w:rFonts w:eastAsia="仿宋_GB2312"/>
          <w:sz w:val="32"/>
          <w:szCs w:val="32"/>
          <w:highlight w:val="none"/>
          <w:u w:val="none"/>
        </w:rPr>
        <w:t>万元，单位资金</w:t>
      </w:r>
      <w:r>
        <w:rPr>
          <w:rFonts w:hint="eastAsia" w:eastAsia="仿宋_GB2312"/>
          <w:sz w:val="32"/>
          <w:szCs w:val="32"/>
          <w:highlight w:val="none"/>
          <w:u w:val="none"/>
          <w:lang w:val="en-US" w:eastAsia="zh-CN"/>
        </w:rPr>
        <w:t>1171.53</w:t>
      </w:r>
      <w:r>
        <w:rPr>
          <w:rFonts w:eastAsia="仿宋_GB2312"/>
          <w:sz w:val="32"/>
          <w:szCs w:val="32"/>
          <w:highlight w:val="none"/>
          <w:u w:val="none"/>
        </w:rPr>
        <w:t>万元。</w:t>
      </w:r>
    </w:p>
    <w:p>
      <w:pPr>
        <w:spacing w:line="600" w:lineRule="exact"/>
        <w:ind w:firstLine="640" w:firstLineChars="200"/>
        <w:rPr>
          <w:rFonts w:hint="eastAsia" w:ascii="仿宋_GB2312" w:hAnsi="仿宋_GB2312" w:eastAsia="仿宋_GB2312" w:cs="仿宋_GB2312"/>
          <w:snapToGrid w:val="0"/>
          <w:color w:val="000000"/>
          <w:kern w:val="0"/>
          <w:sz w:val="32"/>
          <w:szCs w:val="32"/>
          <w:lang w:val="en-US" w:eastAsia="zh-CN" w:bidi="ar-SA"/>
        </w:rPr>
      </w:pPr>
      <w:r>
        <w:rPr>
          <w:rFonts w:hint="eastAsia" w:eastAsia="仿宋_GB2312"/>
          <w:sz w:val="32"/>
          <w:szCs w:val="32"/>
          <w:highlight w:val="none"/>
          <w:lang w:val="en-US" w:eastAsia="zh-CN"/>
        </w:rPr>
        <w:t>1.</w:t>
      </w:r>
      <w:r>
        <w:rPr>
          <w:rFonts w:hint="eastAsia" w:ascii="仿宋_GB2312" w:hAnsi="仿宋_GB2312" w:eastAsia="仿宋_GB2312" w:cs="仿宋_GB2312"/>
          <w:snapToGrid w:val="0"/>
          <w:color w:val="000000"/>
          <w:kern w:val="0"/>
          <w:sz w:val="32"/>
          <w:szCs w:val="32"/>
          <w:lang w:val="en-US" w:eastAsia="zh-CN" w:bidi="ar-SA"/>
        </w:rPr>
        <w:t>项目名称为计划生育事业专项经费，类型为专项资金项目，该项目经费用于昭乌</w:t>
      </w:r>
      <w:r>
        <w:rPr>
          <w:rFonts w:hint="eastAsia" w:ascii="仿宋_GB2312" w:hAnsi="仿宋_GB2312" w:eastAsia="仿宋_GB2312" w:cs="仿宋_GB2312"/>
          <w:snapToGrid w:val="0"/>
          <w:color w:val="000000"/>
          <w:kern w:val="0"/>
          <w:sz w:val="32"/>
          <w:szCs w:val="32"/>
          <w:u w:val="none"/>
          <w:lang w:val="en-US" w:eastAsia="zh-CN" w:bidi="ar-SA"/>
        </w:rPr>
        <w:t>达办公区物业管理费和保障卫生健康委政府办公北区的正常运行。项目预算总金额为</w:t>
      </w:r>
      <w:r>
        <w:rPr>
          <w:rFonts w:hint="eastAsia" w:eastAsia="仿宋_GB2312"/>
          <w:sz w:val="32"/>
          <w:szCs w:val="32"/>
          <w:highlight w:val="none"/>
          <w:u w:val="none"/>
          <w:lang w:val="en-US" w:eastAsia="zh-CN"/>
        </w:rPr>
        <w:t>320</w:t>
      </w:r>
      <w:r>
        <w:rPr>
          <w:rFonts w:hint="eastAsia" w:ascii="仿宋_GB2312" w:hAnsi="仿宋_GB2312" w:eastAsia="仿宋_GB2312" w:cs="仿宋_GB2312"/>
          <w:snapToGrid w:val="0"/>
          <w:color w:val="000000"/>
          <w:kern w:val="0"/>
          <w:sz w:val="32"/>
          <w:szCs w:val="32"/>
          <w:u w:val="none"/>
          <w:lang w:val="en-US" w:eastAsia="zh-CN" w:bidi="ar-SA"/>
        </w:rPr>
        <w:t>万元，其中财政本年拨款金额</w:t>
      </w:r>
      <w:r>
        <w:rPr>
          <w:rFonts w:hint="eastAsia" w:eastAsia="仿宋_GB2312"/>
          <w:sz w:val="32"/>
          <w:szCs w:val="32"/>
          <w:highlight w:val="none"/>
          <w:u w:val="none"/>
          <w:lang w:val="en-US" w:eastAsia="zh-CN"/>
        </w:rPr>
        <w:t>320</w:t>
      </w:r>
      <w:r>
        <w:rPr>
          <w:rFonts w:hint="eastAsia" w:ascii="仿宋_GB2312" w:hAnsi="仿宋_GB2312" w:eastAsia="仿宋_GB2312" w:cs="仿宋_GB2312"/>
          <w:snapToGrid w:val="0"/>
          <w:color w:val="000000"/>
          <w:kern w:val="0"/>
          <w:sz w:val="32"/>
          <w:szCs w:val="32"/>
          <w:u w:val="none"/>
          <w:lang w:val="en-US" w:eastAsia="zh-CN" w:bidi="ar-SA"/>
        </w:rPr>
        <w:t>元，财政拨款结转结余0万元，财政专户管理资金</w:t>
      </w:r>
      <w:r>
        <w:rPr>
          <w:rFonts w:hint="eastAsia" w:eastAsia="仿宋_GB2312"/>
          <w:sz w:val="32"/>
          <w:szCs w:val="32"/>
          <w:highlight w:val="none"/>
          <w:u w:val="none"/>
          <w:lang w:val="en-US" w:eastAsia="zh-CN"/>
        </w:rPr>
        <w:t>0</w:t>
      </w:r>
      <w:r>
        <w:rPr>
          <w:rFonts w:hint="eastAsia" w:ascii="仿宋_GB2312" w:hAnsi="仿宋_GB2312" w:eastAsia="仿宋_GB2312" w:cs="仿宋_GB2312"/>
          <w:snapToGrid w:val="0"/>
          <w:color w:val="000000"/>
          <w:kern w:val="0"/>
          <w:sz w:val="32"/>
          <w:szCs w:val="32"/>
          <w:u w:val="none"/>
          <w:lang w:val="en-US" w:eastAsia="zh-CN" w:bidi="ar-SA"/>
        </w:rPr>
        <w:t>万元，单位资金</w:t>
      </w:r>
      <w:r>
        <w:rPr>
          <w:rFonts w:hint="eastAsia" w:eastAsia="仿宋_GB2312"/>
          <w:sz w:val="32"/>
          <w:szCs w:val="32"/>
          <w:highlight w:val="none"/>
          <w:u w:val="none"/>
          <w:lang w:val="en-US" w:eastAsia="zh-CN"/>
        </w:rPr>
        <w:t>0</w:t>
      </w:r>
      <w:r>
        <w:rPr>
          <w:rFonts w:hint="eastAsia" w:ascii="仿宋_GB2312" w:hAnsi="仿宋_GB2312" w:eastAsia="仿宋_GB2312" w:cs="仿宋_GB2312"/>
          <w:snapToGrid w:val="0"/>
          <w:color w:val="000000"/>
          <w:kern w:val="0"/>
          <w:sz w:val="32"/>
          <w:szCs w:val="32"/>
          <w:u w:val="none"/>
          <w:lang w:val="en-US" w:eastAsia="zh-CN" w:bidi="ar-SA"/>
        </w:rPr>
        <w:t>万元</w:t>
      </w:r>
      <w:r>
        <w:rPr>
          <w:rFonts w:hint="eastAsia" w:ascii="仿宋_GB2312" w:hAnsi="仿宋_GB2312" w:eastAsia="仿宋_GB2312" w:cs="仿宋_GB2312"/>
          <w:snapToGrid w:val="0"/>
          <w:color w:val="000000"/>
          <w:kern w:val="0"/>
          <w:sz w:val="32"/>
          <w:szCs w:val="32"/>
          <w:lang w:val="en-US" w:eastAsia="zh-CN" w:bidi="ar-SA"/>
        </w:rPr>
        <w:t>。</w:t>
      </w:r>
    </w:p>
    <w:p>
      <w:pPr>
        <w:numPr>
          <w:ilvl w:val="0"/>
          <w:numId w:val="0"/>
        </w:numPr>
        <w:spacing w:line="600" w:lineRule="exact"/>
        <w:ind w:firstLine="640" w:firstLineChars="200"/>
        <w:rPr>
          <w:rFonts w:hint="eastAsia" w:ascii="仿宋_GB2312" w:hAnsi="仿宋_GB2312" w:eastAsia="仿宋_GB2312" w:cs="仿宋_GB2312"/>
          <w:snapToGrid w:val="0"/>
          <w:color w:val="000000"/>
          <w:kern w:val="0"/>
          <w:sz w:val="32"/>
          <w:szCs w:val="32"/>
          <w:lang w:val="en-US" w:eastAsia="zh-CN" w:bidi="ar-SA"/>
        </w:rPr>
      </w:pPr>
      <w:r>
        <w:rPr>
          <w:rFonts w:hint="eastAsia" w:ascii="仿宋_GB2312" w:hAnsi="仿宋_GB2312" w:eastAsia="仿宋_GB2312" w:cs="仿宋_GB2312"/>
          <w:snapToGrid w:val="0"/>
          <w:color w:val="000000"/>
          <w:kern w:val="0"/>
          <w:sz w:val="32"/>
          <w:szCs w:val="32"/>
          <w:lang w:val="en-US" w:eastAsia="zh-CN" w:bidi="ar-SA"/>
        </w:rPr>
        <w:t>2.项目名称为对外医疗援助项目，类型为部门预算项目，该项目经费用于对外医疗援助项目</w:t>
      </w:r>
      <w:r>
        <w:rPr>
          <w:rFonts w:hint="eastAsia" w:ascii="仿宋_GB2312" w:hAnsi="仿宋_GB2312" w:eastAsia="仿宋_GB2312" w:cs="仿宋_GB2312"/>
          <w:snapToGrid w:val="0"/>
          <w:color w:val="000000"/>
          <w:kern w:val="0"/>
          <w:sz w:val="32"/>
          <w:szCs w:val="32"/>
          <w:u w:val="none"/>
          <w:lang w:val="en-US" w:eastAsia="zh-CN" w:bidi="ar-SA"/>
        </w:rPr>
        <w:t>工作经费支出以及援外队员津补贴发放。项目预算总金额为</w:t>
      </w:r>
      <w:r>
        <w:rPr>
          <w:rFonts w:hint="eastAsia" w:eastAsia="仿宋_GB2312"/>
          <w:sz w:val="32"/>
          <w:szCs w:val="32"/>
          <w:highlight w:val="none"/>
          <w:u w:val="none"/>
          <w:lang w:val="en-US" w:eastAsia="zh-CN"/>
        </w:rPr>
        <w:t>1167.53</w:t>
      </w:r>
      <w:r>
        <w:rPr>
          <w:rFonts w:hint="eastAsia" w:ascii="仿宋_GB2312" w:hAnsi="仿宋_GB2312" w:eastAsia="仿宋_GB2312" w:cs="仿宋_GB2312"/>
          <w:snapToGrid w:val="0"/>
          <w:color w:val="000000"/>
          <w:kern w:val="0"/>
          <w:sz w:val="32"/>
          <w:szCs w:val="32"/>
          <w:u w:val="none"/>
          <w:lang w:val="en-US" w:eastAsia="zh-CN" w:bidi="ar-SA"/>
        </w:rPr>
        <w:t>万元，其中财政本年拨款金额</w:t>
      </w:r>
      <w:r>
        <w:rPr>
          <w:rFonts w:hint="eastAsia" w:eastAsia="仿宋_GB2312"/>
          <w:sz w:val="32"/>
          <w:szCs w:val="32"/>
          <w:highlight w:val="none"/>
          <w:u w:val="none"/>
          <w:lang w:val="en-US" w:eastAsia="zh-CN"/>
        </w:rPr>
        <w:t>0万</w:t>
      </w:r>
      <w:r>
        <w:rPr>
          <w:rFonts w:hint="eastAsia" w:ascii="仿宋_GB2312" w:hAnsi="仿宋_GB2312" w:eastAsia="仿宋_GB2312" w:cs="仿宋_GB2312"/>
          <w:snapToGrid w:val="0"/>
          <w:color w:val="000000"/>
          <w:kern w:val="0"/>
          <w:sz w:val="32"/>
          <w:szCs w:val="32"/>
          <w:u w:val="none"/>
          <w:lang w:val="en-US" w:eastAsia="zh-CN" w:bidi="ar-SA"/>
        </w:rPr>
        <w:t>元，财政拨款结转结余</w:t>
      </w:r>
      <w:r>
        <w:rPr>
          <w:rFonts w:hint="eastAsia" w:eastAsia="仿宋_GB2312"/>
          <w:sz w:val="32"/>
          <w:szCs w:val="32"/>
          <w:highlight w:val="none"/>
          <w:u w:val="none"/>
          <w:lang w:val="en-US" w:eastAsia="zh-CN"/>
        </w:rPr>
        <w:t>0</w:t>
      </w:r>
      <w:r>
        <w:rPr>
          <w:rFonts w:hint="eastAsia" w:ascii="仿宋_GB2312" w:hAnsi="仿宋_GB2312" w:eastAsia="仿宋_GB2312" w:cs="仿宋_GB2312"/>
          <w:snapToGrid w:val="0"/>
          <w:color w:val="000000"/>
          <w:kern w:val="0"/>
          <w:sz w:val="32"/>
          <w:szCs w:val="32"/>
          <w:u w:val="none"/>
          <w:lang w:val="en-US" w:eastAsia="zh-CN" w:bidi="ar-SA"/>
        </w:rPr>
        <w:t>万元，财政专户管理资金</w:t>
      </w:r>
      <w:r>
        <w:rPr>
          <w:rFonts w:hint="eastAsia" w:eastAsia="仿宋_GB2312"/>
          <w:sz w:val="32"/>
          <w:szCs w:val="32"/>
          <w:highlight w:val="none"/>
          <w:u w:val="none"/>
          <w:lang w:val="en-US" w:eastAsia="zh-CN"/>
        </w:rPr>
        <w:t>0</w:t>
      </w:r>
      <w:r>
        <w:rPr>
          <w:rFonts w:hint="eastAsia" w:ascii="仿宋_GB2312" w:hAnsi="仿宋_GB2312" w:eastAsia="仿宋_GB2312" w:cs="仿宋_GB2312"/>
          <w:snapToGrid w:val="0"/>
          <w:color w:val="000000"/>
          <w:kern w:val="0"/>
          <w:sz w:val="32"/>
          <w:szCs w:val="32"/>
          <w:u w:val="none"/>
          <w:lang w:val="en-US" w:eastAsia="zh-CN" w:bidi="ar-SA"/>
        </w:rPr>
        <w:t>万元，单位资金</w:t>
      </w:r>
      <w:r>
        <w:rPr>
          <w:rFonts w:hint="eastAsia" w:eastAsia="仿宋_GB2312"/>
          <w:sz w:val="32"/>
          <w:szCs w:val="32"/>
          <w:highlight w:val="none"/>
          <w:u w:val="none"/>
          <w:lang w:val="en-US" w:eastAsia="zh-CN"/>
        </w:rPr>
        <w:t>1167.53</w:t>
      </w:r>
      <w:r>
        <w:rPr>
          <w:rFonts w:hint="eastAsia" w:ascii="仿宋_GB2312" w:hAnsi="仿宋_GB2312" w:eastAsia="仿宋_GB2312" w:cs="仿宋_GB2312"/>
          <w:snapToGrid w:val="0"/>
          <w:color w:val="000000"/>
          <w:kern w:val="0"/>
          <w:sz w:val="32"/>
          <w:szCs w:val="32"/>
          <w:u w:val="none"/>
          <w:lang w:val="en-US" w:eastAsia="zh-CN" w:bidi="ar-SA"/>
        </w:rPr>
        <w:t>万元</w:t>
      </w:r>
      <w:r>
        <w:rPr>
          <w:rFonts w:hint="eastAsia" w:ascii="仿宋_GB2312" w:hAnsi="仿宋_GB2312" w:eastAsia="仿宋_GB2312" w:cs="仿宋_GB2312"/>
          <w:snapToGrid w:val="0"/>
          <w:color w:val="000000"/>
          <w:kern w:val="0"/>
          <w:sz w:val="32"/>
          <w:szCs w:val="32"/>
          <w:lang w:val="en-US" w:eastAsia="zh-CN" w:bidi="ar-SA"/>
        </w:rPr>
        <w:t>。</w:t>
      </w:r>
    </w:p>
    <w:p>
      <w:pPr>
        <w:numPr>
          <w:ilvl w:val="0"/>
          <w:numId w:val="0"/>
        </w:numPr>
        <w:spacing w:line="600" w:lineRule="exact"/>
        <w:ind w:firstLine="640" w:firstLineChars="200"/>
        <w:rPr>
          <w:rFonts w:hint="eastAsia" w:ascii="仿宋_GB2312" w:hAnsi="仿宋_GB2312" w:eastAsia="仿宋_GB2312" w:cs="仿宋_GB2312"/>
          <w:snapToGrid w:val="0"/>
          <w:color w:val="000000"/>
          <w:kern w:val="0"/>
          <w:sz w:val="32"/>
          <w:szCs w:val="32"/>
          <w:lang w:val="en-US" w:eastAsia="zh-CN" w:bidi="ar-SA"/>
        </w:rPr>
      </w:pPr>
      <w:r>
        <w:rPr>
          <w:rFonts w:hint="eastAsia" w:ascii="仿宋_GB2312" w:hAnsi="仿宋_GB2312" w:eastAsia="仿宋_GB2312" w:cs="仿宋_GB2312"/>
          <w:snapToGrid w:val="0"/>
          <w:color w:val="000000"/>
          <w:kern w:val="0"/>
          <w:sz w:val="32"/>
          <w:szCs w:val="32"/>
          <w:lang w:val="en-US" w:eastAsia="zh-CN" w:bidi="ar-SA"/>
        </w:rPr>
        <w:t>3.项目名称为全国第七次卫生服务调查工作经费，类型为部门预算项目，该项目</w:t>
      </w:r>
      <w:r>
        <w:rPr>
          <w:rFonts w:hint="eastAsia" w:ascii="仿宋_GB2312" w:hAnsi="仿宋_GB2312" w:eastAsia="仿宋_GB2312" w:cs="仿宋_GB2312"/>
          <w:snapToGrid w:val="0"/>
          <w:color w:val="000000"/>
          <w:kern w:val="0"/>
          <w:sz w:val="32"/>
          <w:szCs w:val="32"/>
          <w:u w:val="none"/>
          <w:lang w:val="en-US" w:eastAsia="zh-CN" w:bidi="ar-SA"/>
        </w:rPr>
        <w:t>经费用于支付全国第七次卫生服务调查工作差旅费。项目预算总金额为</w:t>
      </w:r>
      <w:r>
        <w:rPr>
          <w:rFonts w:hint="eastAsia" w:eastAsia="仿宋_GB2312"/>
          <w:sz w:val="32"/>
          <w:szCs w:val="32"/>
          <w:highlight w:val="none"/>
          <w:u w:val="none"/>
          <w:lang w:val="en-US" w:eastAsia="zh-CN"/>
        </w:rPr>
        <w:t>2</w:t>
      </w:r>
      <w:r>
        <w:rPr>
          <w:rFonts w:hint="eastAsia" w:ascii="仿宋_GB2312" w:hAnsi="仿宋_GB2312" w:eastAsia="仿宋_GB2312" w:cs="仿宋_GB2312"/>
          <w:snapToGrid w:val="0"/>
          <w:color w:val="000000"/>
          <w:kern w:val="0"/>
          <w:sz w:val="32"/>
          <w:szCs w:val="32"/>
          <w:u w:val="none"/>
          <w:lang w:val="en-US" w:eastAsia="zh-CN" w:bidi="ar-SA"/>
        </w:rPr>
        <w:t>万元，其中财政本年拨款金额</w:t>
      </w:r>
      <w:r>
        <w:rPr>
          <w:rFonts w:hint="eastAsia" w:eastAsia="仿宋_GB2312"/>
          <w:sz w:val="32"/>
          <w:szCs w:val="32"/>
          <w:highlight w:val="none"/>
          <w:u w:val="none"/>
          <w:lang w:val="en-US" w:eastAsia="zh-CN"/>
        </w:rPr>
        <w:t>0</w:t>
      </w:r>
      <w:r>
        <w:rPr>
          <w:rFonts w:hint="eastAsia" w:ascii="仿宋_GB2312" w:hAnsi="仿宋_GB2312" w:eastAsia="仿宋_GB2312" w:cs="仿宋_GB2312"/>
          <w:snapToGrid w:val="0"/>
          <w:color w:val="000000"/>
          <w:kern w:val="0"/>
          <w:sz w:val="32"/>
          <w:szCs w:val="32"/>
          <w:u w:val="none"/>
          <w:lang w:val="en-US" w:eastAsia="zh-CN" w:bidi="ar-SA"/>
        </w:rPr>
        <w:t>万元，财政拨款结转结余</w:t>
      </w:r>
      <w:r>
        <w:rPr>
          <w:rFonts w:hint="eastAsia" w:eastAsia="仿宋_GB2312"/>
          <w:sz w:val="32"/>
          <w:szCs w:val="32"/>
          <w:highlight w:val="none"/>
          <w:u w:val="none"/>
          <w:lang w:val="en-US" w:eastAsia="zh-CN"/>
        </w:rPr>
        <w:t>0</w:t>
      </w:r>
      <w:r>
        <w:rPr>
          <w:rFonts w:hint="eastAsia" w:ascii="仿宋_GB2312" w:hAnsi="仿宋_GB2312" w:eastAsia="仿宋_GB2312" w:cs="仿宋_GB2312"/>
          <w:snapToGrid w:val="0"/>
          <w:color w:val="000000"/>
          <w:kern w:val="0"/>
          <w:sz w:val="32"/>
          <w:szCs w:val="32"/>
          <w:u w:val="none"/>
          <w:lang w:val="en-US" w:eastAsia="zh-CN" w:bidi="ar-SA"/>
        </w:rPr>
        <w:t>万元，财政专户管理资金</w:t>
      </w:r>
      <w:r>
        <w:rPr>
          <w:rFonts w:hint="eastAsia" w:eastAsia="仿宋_GB2312"/>
          <w:sz w:val="32"/>
          <w:szCs w:val="32"/>
          <w:highlight w:val="none"/>
          <w:u w:val="none"/>
          <w:lang w:val="en-US" w:eastAsia="zh-CN"/>
        </w:rPr>
        <w:t>0</w:t>
      </w:r>
      <w:r>
        <w:rPr>
          <w:rFonts w:hint="eastAsia" w:ascii="仿宋_GB2312" w:hAnsi="仿宋_GB2312" w:eastAsia="仿宋_GB2312" w:cs="仿宋_GB2312"/>
          <w:snapToGrid w:val="0"/>
          <w:color w:val="000000"/>
          <w:kern w:val="0"/>
          <w:sz w:val="32"/>
          <w:szCs w:val="32"/>
          <w:u w:val="none"/>
          <w:lang w:val="en-US" w:eastAsia="zh-CN" w:bidi="ar-SA"/>
        </w:rPr>
        <w:t>万元，单位资金</w:t>
      </w:r>
      <w:r>
        <w:rPr>
          <w:rFonts w:hint="eastAsia" w:eastAsia="仿宋_GB2312"/>
          <w:sz w:val="32"/>
          <w:szCs w:val="32"/>
          <w:highlight w:val="none"/>
          <w:u w:val="none"/>
          <w:lang w:val="en-US" w:eastAsia="zh-CN"/>
        </w:rPr>
        <w:t>2</w:t>
      </w:r>
      <w:r>
        <w:rPr>
          <w:rFonts w:hint="eastAsia" w:ascii="仿宋_GB2312" w:hAnsi="仿宋_GB2312" w:eastAsia="仿宋_GB2312" w:cs="仿宋_GB2312"/>
          <w:snapToGrid w:val="0"/>
          <w:color w:val="000000"/>
          <w:kern w:val="0"/>
          <w:sz w:val="32"/>
          <w:szCs w:val="32"/>
          <w:u w:val="none"/>
          <w:lang w:val="en-US" w:eastAsia="zh-CN" w:bidi="ar-SA"/>
        </w:rPr>
        <w:t>万元</w:t>
      </w:r>
      <w:r>
        <w:rPr>
          <w:rFonts w:hint="eastAsia" w:ascii="仿宋_GB2312" w:hAnsi="仿宋_GB2312" w:eastAsia="仿宋_GB2312" w:cs="仿宋_GB2312"/>
          <w:snapToGrid w:val="0"/>
          <w:color w:val="000000"/>
          <w:kern w:val="0"/>
          <w:sz w:val="32"/>
          <w:szCs w:val="32"/>
          <w:lang w:val="en-US" w:eastAsia="zh-CN" w:bidi="ar-SA"/>
        </w:rPr>
        <w:t>。</w:t>
      </w:r>
    </w:p>
    <w:p>
      <w:pPr>
        <w:numPr>
          <w:ilvl w:val="0"/>
          <w:numId w:val="0"/>
        </w:numPr>
        <w:spacing w:line="600" w:lineRule="exact"/>
        <w:ind w:firstLine="640" w:firstLineChars="200"/>
        <w:rPr>
          <w:rFonts w:hint="eastAsia" w:ascii="仿宋_GB2312" w:hAnsi="仿宋_GB2312" w:eastAsia="仿宋_GB2312" w:cs="仿宋_GB2312"/>
          <w:snapToGrid w:val="0"/>
          <w:color w:val="000000"/>
          <w:kern w:val="0"/>
          <w:sz w:val="32"/>
          <w:szCs w:val="32"/>
          <w:u w:val="none"/>
          <w:lang w:val="en-US" w:eastAsia="zh-CN" w:bidi="ar-SA"/>
        </w:rPr>
      </w:pPr>
      <w:r>
        <w:rPr>
          <w:rFonts w:hint="eastAsia" w:ascii="仿宋_GB2312" w:hAnsi="仿宋_GB2312" w:eastAsia="仿宋_GB2312" w:cs="仿宋_GB2312"/>
          <w:snapToGrid w:val="0"/>
          <w:color w:val="000000"/>
          <w:kern w:val="0"/>
          <w:sz w:val="32"/>
          <w:szCs w:val="32"/>
          <w:lang w:val="en-US" w:eastAsia="zh-CN" w:bidi="ar-SA"/>
        </w:rPr>
        <w:t>4.项目名称为“互联互通”试点项目工作经费，类型为部门预算项目，该项目经费用于支付“互联互通”试点项目工作差旅费。项目预算总金额</w:t>
      </w:r>
      <w:r>
        <w:rPr>
          <w:rFonts w:hint="eastAsia" w:ascii="仿宋_GB2312" w:hAnsi="仿宋_GB2312" w:eastAsia="仿宋_GB2312" w:cs="仿宋_GB2312"/>
          <w:snapToGrid w:val="0"/>
          <w:color w:val="000000"/>
          <w:kern w:val="0"/>
          <w:sz w:val="32"/>
          <w:szCs w:val="32"/>
          <w:u w:val="none"/>
          <w:lang w:val="en-US" w:eastAsia="zh-CN" w:bidi="ar-SA"/>
        </w:rPr>
        <w:t>为</w:t>
      </w:r>
      <w:r>
        <w:rPr>
          <w:rFonts w:hint="eastAsia" w:eastAsia="仿宋_GB2312"/>
          <w:sz w:val="32"/>
          <w:szCs w:val="32"/>
          <w:highlight w:val="none"/>
          <w:u w:val="none"/>
          <w:lang w:val="en-US" w:eastAsia="zh-CN"/>
        </w:rPr>
        <w:t>2</w:t>
      </w:r>
      <w:r>
        <w:rPr>
          <w:rFonts w:hint="eastAsia" w:ascii="仿宋_GB2312" w:hAnsi="仿宋_GB2312" w:eastAsia="仿宋_GB2312" w:cs="仿宋_GB2312"/>
          <w:snapToGrid w:val="0"/>
          <w:color w:val="000000"/>
          <w:kern w:val="0"/>
          <w:sz w:val="32"/>
          <w:szCs w:val="32"/>
          <w:u w:val="none"/>
          <w:lang w:val="en-US" w:eastAsia="zh-CN" w:bidi="ar-SA"/>
        </w:rPr>
        <w:t>万元，其中财政本年拨款金额</w:t>
      </w:r>
      <w:r>
        <w:rPr>
          <w:rFonts w:hint="eastAsia" w:eastAsia="仿宋_GB2312"/>
          <w:sz w:val="32"/>
          <w:szCs w:val="32"/>
          <w:highlight w:val="none"/>
          <w:u w:val="none"/>
          <w:lang w:val="en-US" w:eastAsia="zh-CN"/>
        </w:rPr>
        <w:t>0</w:t>
      </w:r>
      <w:r>
        <w:rPr>
          <w:rFonts w:hint="eastAsia" w:ascii="仿宋_GB2312" w:hAnsi="仿宋_GB2312" w:eastAsia="仿宋_GB2312" w:cs="仿宋_GB2312"/>
          <w:snapToGrid w:val="0"/>
          <w:color w:val="000000"/>
          <w:kern w:val="0"/>
          <w:sz w:val="32"/>
          <w:szCs w:val="32"/>
          <w:u w:val="none"/>
          <w:lang w:val="en-US" w:eastAsia="zh-CN" w:bidi="ar-SA"/>
        </w:rPr>
        <w:t>万元，财政拨款结转结余</w:t>
      </w:r>
      <w:r>
        <w:rPr>
          <w:rFonts w:hint="eastAsia" w:eastAsia="仿宋_GB2312"/>
          <w:sz w:val="32"/>
          <w:szCs w:val="32"/>
          <w:highlight w:val="none"/>
          <w:u w:val="none"/>
          <w:lang w:val="en-US" w:eastAsia="zh-CN"/>
        </w:rPr>
        <w:t>0</w:t>
      </w:r>
      <w:r>
        <w:rPr>
          <w:rFonts w:hint="eastAsia" w:ascii="仿宋_GB2312" w:hAnsi="仿宋_GB2312" w:eastAsia="仿宋_GB2312" w:cs="仿宋_GB2312"/>
          <w:snapToGrid w:val="0"/>
          <w:color w:val="000000"/>
          <w:kern w:val="0"/>
          <w:sz w:val="32"/>
          <w:szCs w:val="32"/>
          <w:u w:val="none"/>
          <w:lang w:val="en-US" w:eastAsia="zh-CN" w:bidi="ar-SA"/>
        </w:rPr>
        <w:t>万元，财政专户管理资金</w:t>
      </w:r>
      <w:r>
        <w:rPr>
          <w:rFonts w:hint="eastAsia" w:eastAsia="仿宋_GB2312"/>
          <w:sz w:val="32"/>
          <w:szCs w:val="32"/>
          <w:highlight w:val="none"/>
          <w:u w:val="none"/>
          <w:lang w:val="en-US" w:eastAsia="zh-CN"/>
        </w:rPr>
        <w:t>0</w:t>
      </w:r>
      <w:r>
        <w:rPr>
          <w:rFonts w:hint="eastAsia" w:ascii="仿宋_GB2312" w:hAnsi="仿宋_GB2312" w:eastAsia="仿宋_GB2312" w:cs="仿宋_GB2312"/>
          <w:snapToGrid w:val="0"/>
          <w:color w:val="000000"/>
          <w:kern w:val="0"/>
          <w:sz w:val="32"/>
          <w:szCs w:val="32"/>
          <w:u w:val="none"/>
          <w:lang w:val="en-US" w:eastAsia="zh-CN" w:bidi="ar-SA"/>
        </w:rPr>
        <w:t>万元，单位资金</w:t>
      </w:r>
      <w:r>
        <w:rPr>
          <w:rFonts w:hint="eastAsia" w:eastAsia="仿宋_GB2312"/>
          <w:sz w:val="32"/>
          <w:szCs w:val="32"/>
          <w:highlight w:val="none"/>
          <w:u w:val="none"/>
          <w:lang w:val="en-US" w:eastAsia="zh-CN"/>
        </w:rPr>
        <w:t>2</w:t>
      </w:r>
      <w:r>
        <w:rPr>
          <w:rFonts w:hint="eastAsia" w:ascii="仿宋_GB2312" w:hAnsi="仿宋_GB2312" w:eastAsia="仿宋_GB2312" w:cs="仿宋_GB2312"/>
          <w:snapToGrid w:val="0"/>
          <w:color w:val="000000"/>
          <w:kern w:val="0"/>
          <w:sz w:val="32"/>
          <w:szCs w:val="32"/>
          <w:u w:val="none"/>
          <w:lang w:val="en-US" w:eastAsia="zh-CN" w:bidi="ar-SA"/>
        </w:rPr>
        <w:t>万元。</w:t>
      </w:r>
    </w:p>
    <w:p>
      <w:pPr>
        <w:spacing w:line="600" w:lineRule="exact"/>
        <w:ind w:left="0" w:leftChars="0" w:firstLine="640" w:firstLineChars="200"/>
        <w:outlineLvl w:val="2"/>
        <w:rPr>
          <w:rFonts w:eastAsia="黑体" w:cs="黑体"/>
          <w:sz w:val="32"/>
          <w:szCs w:val="36"/>
          <w:highlight w:val="none"/>
        </w:rPr>
      </w:pPr>
      <w:r>
        <w:rPr>
          <w:rFonts w:hint="eastAsia" w:eastAsia="黑体" w:cs="黑体"/>
          <w:sz w:val="32"/>
          <w:szCs w:val="36"/>
          <w:highlight w:val="none"/>
        </w:rPr>
        <w:t>十一、</w:t>
      </w:r>
      <w:r>
        <w:rPr>
          <w:rFonts w:hint="eastAsia" w:eastAsia="黑体" w:cs="黑体"/>
          <w:sz w:val="32"/>
          <w:szCs w:val="36"/>
          <w:highlight w:val="none"/>
          <w:lang w:val="en-US" w:eastAsia="zh-CN"/>
        </w:rPr>
        <w:t>机构</w:t>
      </w:r>
      <w:r>
        <w:rPr>
          <w:rFonts w:hint="eastAsia" w:eastAsia="黑体" w:cs="黑体"/>
          <w:sz w:val="32"/>
          <w:szCs w:val="36"/>
          <w:highlight w:val="none"/>
        </w:rPr>
        <w:t>运行经费支出预算情况说明</w:t>
      </w:r>
    </w:p>
    <w:p>
      <w:pPr>
        <w:spacing w:line="600" w:lineRule="exact"/>
        <w:ind w:firstLine="640" w:firstLineChars="200"/>
        <w:rPr>
          <w:rFonts w:eastAsia="仿宋_GB2312" w:cstheme="minorBidi"/>
          <w:sz w:val="32"/>
          <w:szCs w:val="32"/>
          <w:highlight w:val="none"/>
        </w:rPr>
      </w:pPr>
      <w:r>
        <w:rPr>
          <w:rFonts w:hint="eastAsia" w:ascii="仿宋_GB2312" w:hAnsi="仿宋_GB2312" w:eastAsia="仿宋_GB2312" w:cs="仿宋_GB2312"/>
          <w:snapToGrid w:val="0"/>
          <w:color w:val="000000"/>
          <w:kern w:val="0"/>
          <w:sz w:val="32"/>
          <w:szCs w:val="32"/>
          <w:lang w:val="en-US" w:eastAsia="zh-CN" w:bidi="ar-SA"/>
        </w:rPr>
        <w:t>内蒙古自治区卫生健康委员会综合保障</w:t>
      </w:r>
      <w:r>
        <w:rPr>
          <w:rFonts w:hint="eastAsia" w:ascii="Times New Roman" w:hAnsi="Times New Roman" w:eastAsia="仿宋_GB2312" w:cs="仿宋"/>
          <w:sz w:val="32"/>
          <w:szCs w:val="32"/>
          <w:highlight w:val="none"/>
          <w:lang w:val="en-US" w:eastAsia="zh-CN"/>
        </w:rPr>
        <w:t>中心2026</w:t>
      </w:r>
      <w:r>
        <w:rPr>
          <w:rFonts w:eastAsia="仿宋_GB2312"/>
          <w:sz w:val="32"/>
          <w:szCs w:val="32"/>
          <w:highlight w:val="none"/>
        </w:rPr>
        <w:t>年度</w:t>
      </w:r>
      <w:r>
        <w:rPr>
          <w:rFonts w:hint="eastAsia" w:eastAsia="仿宋_GB2312"/>
          <w:sz w:val="32"/>
          <w:szCs w:val="32"/>
          <w:highlight w:val="none"/>
          <w:lang w:val="en-US" w:eastAsia="zh-CN"/>
        </w:rPr>
        <w:t>机构</w:t>
      </w:r>
      <w:r>
        <w:rPr>
          <w:rFonts w:eastAsia="仿宋_GB2312"/>
          <w:sz w:val="32"/>
          <w:szCs w:val="32"/>
          <w:highlight w:val="none"/>
        </w:rPr>
        <w:t>运行经费预算支出</w:t>
      </w:r>
      <w:r>
        <w:rPr>
          <w:rFonts w:hint="eastAsia" w:eastAsia="仿宋_GB2312"/>
          <w:sz w:val="32"/>
          <w:szCs w:val="32"/>
          <w:highlight w:val="none"/>
          <w:u w:val="single"/>
          <w:lang w:val="en-US" w:eastAsia="zh-CN"/>
        </w:rPr>
        <w:t>44.95</w:t>
      </w:r>
      <w:r>
        <w:rPr>
          <w:rFonts w:eastAsia="仿宋_GB2312"/>
          <w:sz w:val="32"/>
          <w:szCs w:val="32"/>
          <w:highlight w:val="none"/>
        </w:rPr>
        <w:t>万元</w:t>
      </w:r>
      <w:r>
        <w:rPr>
          <w:rFonts w:hint="eastAsia" w:eastAsia="仿宋_GB2312" w:cstheme="minorBidi"/>
          <w:sz w:val="32"/>
          <w:szCs w:val="32"/>
          <w:highlight w:val="none"/>
        </w:rPr>
        <w:t>，</w:t>
      </w:r>
      <w:r>
        <w:rPr>
          <w:rFonts w:eastAsia="仿宋_GB2312"/>
          <w:color w:val="000000" w:themeColor="text1"/>
          <w:sz w:val="32"/>
          <w:szCs w:val="32"/>
          <w:highlight w:val="none"/>
          <w14:textFill>
            <w14:solidFill>
              <w14:schemeClr w14:val="tx1"/>
            </w14:solidFill>
          </w14:textFill>
        </w:rPr>
        <w:t>与</w:t>
      </w:r>
      <w:r>
        <w:rPr>
          <w:rFonts w:eastAsia="仿宋_GB2312"/>
          <w:sz w:val="32"/>
          <w:szCs w:val="32"/>
          <w:highlight w:val="none"/>
        </w:rPr>
        <w:t>上年相比增加</w:t>
      </w:r>
      <w:r>
        <w:rPr>
          <w:rFonts w:hint="eastAsia" w:eastAsia="仿宋_GB2312"/>
          <w:sz w:val="32"/>
          <w:szCs w:val="32"/>
          <w:highlight w:val="none"/>
          <w:u w:val="single"/>
          <w:lang w:val="en-US" w:eastAsia="zh-CN"/>
        </w:rPr>
        <w:t>6.45</w:t>
      </w:r>
      <w:r>
        <w:rPr>
          <w:rFonts w:eastAsia="仿宋_GB2312"/>
          <w:sz w:val="32"/>
          <w:szCs w:val="32"/>
          <w:highlight w:val="none"/>
        </w:rPr>
        <w:t>万元，增长</w:t>
      </w:r>
      <w:r>
        <w:rPr>
          <w:rFonts w:hint="eastAsia" w:eastAsia="仿宋_GB2312"/>
          <w:sz w:val="32"/>
          <w:szCs w:val="32"/>
          <w:highlight w:val="none"/>
          <w:u w:val="single"/>
          <w:lang w:val="en-US" w:eastAsia="zh-CN"/>
        </w:rPr>
        <w:t>16.76</w:t>
      </w:r>
      <w:r>
        <w:rPr>
          <w:rFonts w:hint="eastAsia" w:ascii="仿宋_GB2312" w:hAnsi="仿宋_GB2312" w:eastAsia="仿宋_GB2312"/>
          <w:sz w:val="32"/>
          <w:szCs w:val="32"/>
          <w:highlight w:val="none"/>
          <w:lang w:eastAsia="zh-CN"/>
        </w:rPr>
        <w:t>%</w:t>
      </w:r>
      <w:r>
        <w:rPr>
          <w:rFonts w:eastAsia="仿宋_GB2312"/>
          <w:sz w:val="32"/>
          <w:szCs w:val="32"/>
          <w:highlight w:val="none"/>
        </w:rPr>
        <w:t>。主要原因是：</w:t>
      </w:r>
      <w:r>
        <w:rPr>
          <w:rFonts w:hint="eastAsia" w:ascii="Times New Roman" w:hAnsi="Times New Roman" w:eastAsia="仿宋_GB2312" w:cs="Times New Roman"/>
          <w:snapToGrid/>
          <w:kern w:val="2"/>
          <w:sz w:val="32"/>
          <w:szCs w:val="32"/>
          <w:highlight w:val="none"/>
          <w:lang w:val="en-US" w:eastAsia="zh-CN" w:bidi="ar-SA"/>
        </w:rPr>
        <w:t>上一年末新增在编人员</w:t>
      </w:r>
      <w:r>
        <w:rPr>
          <w:rFonts w:hint="eastAsia" w:eastAsia="仿宋_GB2312" w:cs="Times New Roman"/>
          <w:snapToGrid/>
          <w:kern w:val="2"/>
          <w:sz w:val="32"/>
          <w:szCs w:val="32"/>
          <w:highlight w:val="none"/>
          <w:lang w:val="en-US" w:eastAsia="zh-CN" w:bidi="ar-SA"/>
        </w:rPr>
        <w:t>11</w:t>
      </w:r>
      <w:r>
        <w:rPr>
          <w:rFonts w:hint="eastAsia" w:ascii="Times New Roman" w:hAnsi="Times New Roman" w:eastAsia="仿宋_GB2312" w:cs="Times New Roman"/>
          <w:snapToGrid/>
          <w:kern w:val="2"/>
          <w:sz w:val="32"/>
          <w:szCs w:val="32"/>
          <w:highlight w:val="none"/>
          <w:lang w:val="en-US" w:eastAsia="zh-CN" w:bidi="ar-SA"/>
        </w:rPr>
        <w:t>人</w:t>
      </w:r>
      <w:r>
        <w:rPr>
          <w:rFonts w:hint="eastAsia" w:eastAsia="仿宋_GB2312" w:cs="Times New Roman"/>
          <w:snapToGrid/>
          <w:kern w:val="2"/>
          <w:sz w:val="32"/>
          <w:szCs w:val="32"/>
          <w:highlight w:val="none"/>
          <w:lang w:val="en-US" w:eastAsia="zh-CN" w:bidi="ar-SA"/>
        </w:rPr>
        <w:t>，</w:t>
      </w:r>
      <w:r>
        <w:rPr>
          <w:rFonts w:hint="eastAsia" w:ascii="Times New Roman" w:hAnsi="Times New Roman" w:eastAsia="仿宋_GB2312" w:cs="Times New Roman"/>
          <w:snapToGrid/>
          <w:kern w:val="2"/>
          <w:sz w:val="32"/>
          <w:szCs w:val="32"/>
          <w:highlight w:val="none"/>
          <w:lang w:val="en-US" w:eastAsia="zh-CN" w:bidi="ar-SA"/>
        </w:rPr>
        <w:t>所需</w:t>
      </w:r>
      <w:r>
        <w:rPr>
          <w:rFonts w:hint="eastAsia" w:eastAsia="仿宋_GB2312" w:cs="Times New Roman"/>
          <w:snapToGrid/>
          <w:kern w:val="2"/>
          <w:sz w:val="32"/>
          <w:szCs w:val="32"/>
          <w:highlight w:val="none"/>
          <w:lang w:val="en-US" w:eastAsia="zh-CN" w:bidi="ar-SA"/>
        </w:rPr>
        <w:t>工会经费、福利费等</w:t>
      </w:r>
      <w:r>
        <w:rPr>
          <w:rFonts w:hint="eastAsia" w:ascii="Times New Roman" w:hAnsi="Times New Roman" w:eastAsia="仿宋_GB2312" w:cs="Times New Roman"/>
          <w:snapToGrid/>
          <w:kern w:val="2"/>
          <w:sz w:val="32"/>
          <w:szCs w:val="32"/>
          <w:highlight w:val="none"/>
          <w:lang w:val="en-US" w:eastAsia="zh-CN" w:bidi="ar-SA"/>
        </w:rPr>
        <w:t>支出随之增长</w:t>
      </w:r>
      <w:r>
        <w:rPr>
          <w:rFonts w:hint="eastAsia" w:ascii="Times New Roman" w:hAnsi="Times New Roman" w:eastAsia="仿宋_GB2312" w:cs="仿宋"/>
          <w:sz w:val="32"/>
          <w:szCs w:val="32"/>
          <w:highlight w:val="none"/>
          <w:lang w:val="en-US" w:eastAsia="zh-CN"/>
        </w:rPr>
        <w:t>。</w:t>
      </w:r>
    </w:p>
    <w:p>
      <w:pPr>
        <w:spacing w:line="600" w:lineRule="exact"/>
        <w:ind w:left="0" w:leftChars="0" w:firstLine="640" w:firstLineChars="200"/>
        <w:outlineLvl w:val="2"/>
        <w:rPr>
          <w:rFonts w:eastAsia="黑体" w:cs="黑体"/>
          <w:b/>
          <w:bCs/>
          <w:sz w:val="32"/>
          <w:szCs w:val="36"/>
          <w:highlight w:val="none"/>
        </w:rPr>
      </w:pPr>
      <w:r>
        <w:rPr>
          <w:rFonts w:hint="eastAsia" w:eastAsia="黑体" w:cs="黑体"/>
          <w:sz w:val="32"/>
          <w:szCs w:val="36"/>
          <w:highlight w:val="none"/>
        </w:rPr>
        <w:t>十二、政府采购支出预算情况说明</w:t>
      </w:r>
    </w:p>
    <w:p>
      <w:pPr>
        <w:spacing w:line="600" w:lineRule="exact"/>
        <w:ind w:firstLine="640" w:firstLineChars="200"/>
        <w:rPr>
          <w:rFonts w:eastAsia="仿宋_GB2312"/>
          <w:sz w:val="32"/>
          <w:szCs w:val="32"/>
          <w:highlight w:val="none"/>
        </w:rPr>
      </w:pPr>
      <w:r>
        <w:rPr>
          <w:rFonts w:hint="eastAsia" w:ascii="仿宋_GB2312" w:hAnsi="仿宋_GB2312" w:eastAsia="仿宋_GB2312" w:cs="仿宋_GB2312"/>
          <w:snapToGrid w:val="0"/>
          <w:color w:val="000000"/>
          <w:kern w:val="0"/>
          <w:sz w:val="32"/>
          <w:szCs w:val="32"/>
          <w:lang w:val="en-US" w:eastAsia="zh-CN" w:bidi="ar-SA"/>
        </w:rPr>
        <w:t>内蒙古自治区卫生健康委员会综合保障</w:t>
      </w:r>
      <w:r>
        <w:rPr>
          <w:rFonts w:hint="eastAsia" w:ascii="Times New Roman" w:hAnsi="Times New Roman" w:eastAsia="仿宋_GB2312" w:cs="仿宋"/>
          <w:sz w:val="32"/>
          <w:szCs w:val="32"/>
          <w:highlight w:val="none"/>
          <w:lang w:val="en-US" w:eastAsia="zh-CN"/>
        </w:rPr>
        <w:t>中心2026</w:t>
      </w:r>
      <w:r>
        <w:rPr>
          <w:rFonts w:eastAsia="仿宋_GB2312"/>
          <w:sz w:val="32"/>
          <w:szCs w:val="32"/>
          <w:highlight w:val="none"/>
        </w:rPr>
        <w:t>年度政府采购支出预算总额</w:t>
      </w:r>
      <w:r>
        <w:rPr>
          <w:rFonts w:hint="eastAsia" w:eastAsia="仿宋_GB2312"/>
          <w:sz w:val="32"/>
          <w:szCs w:val="32"/>
          <w:highlight w:val="none"/>
          <w:u w:val="single"/>
          <w:lang w:val="en-US" w:eastAsia="zh-CN"/>
        </w:rPr>
        <w:t>159.3</w:t>
      </w:r>
      <w:r>
        <w:rPr>
          <w:rFonts w:eastAsia="仿宋_GB2312"/>
          <w:sz w:val="32"/>
          <w:szCs w:val="32"/>
          <w:highlight w:val="none"/>
        </w:rPr>
        <w:t>万元，其中：拟采购货物支出</w:t>
      </w:r>
      <w:r>
        <w:rPr>
          <w:rFonts w:hint="eastAsia" w:eastAsia="仿宋_GB2312"/>
          <w:sz w:val="32"/>
          <w:szCs w:val="32"/>
          <w:highlight w:val="none"/>
          <w:u w:val="single"/>
          <w:lang w:val="en-US" w:eastAsia="zh-CN"/>
        </w:rPr>
        <w:t>0.5</w:t>
      </w:r>
      <w:r>
        <w:rPr>
          <w:rFonts w:eastAsia="仿宋_GB2312"/>
          <w:sz w:val="32"/>
          <w:szCs w:val="32"/>
          <w:highlight w:val="none"/>
        </w:rPr>
        <w:t>万元、拟采购工程支出</w:t>
      </w:r>
      <w:r>
        <w:rPr>
          <w:rFonts w:hint="eastAsia" w:eastAsia="仿宋_GB2312"/>
          <w:sz w:val="32"/>
          <w:szCs w:val="32"/>
          <w:highlight w:val="none"/>
          <w:u w:val="single"/>
          <w:lang w:val="en-US" w:eastAsia="zh-CN"/>
        </w:rPr>
        <w:t>0</w:t>
      </w:r>
      <w:r>
        <w:rPr>
          <w:rFonts w:eastAsia="仿宋_GB2312"/>
          <w:sz w:val="32"/>
          <w:szCs w:val="32"/>
          <w:highlight w:val="none"/>
        </w:rPr>
        <w:t>万元、拟购买服务支出</w:t>
      </w:r>
      <w:r>
        <w:rPr>
          <w:rFonts w:hint="eastAsia" w:eastAsia="仿宋_GB2312"/>
          <w:sz w:val="32"/>
          <w:szCs w:val="32"/>
          <w:highlight w:val="none"/>
          <w:u w:val="single"/>
          <w:lang w:val="en-US" w:eastAsia="zh-CN"/>
        </w:rPr>
        <w:t>158.8</w:t>
      </w:r>
      <w:r>
        <w:rPr>
          <w:rFonts w:eastAsia="仿宋_GB2312"/>
          <w:sz w:val="32"/>
          <w:szCs w:val="32"/>
          <w:highlight w:val="none"/>
        </w:rPr>
        <w:t>万元。</w:t>
      </w:r>
    </w:p>
    <w:p>
      <w:pPr>
        <w:spacing w:line="600" w:lineRule="exact"/>
        <w:ind w:left="0" w:leftChars="0" w:firstLine="640" w:firstLineChars="200"/>
        <w:outlineLvl w:val="2"/>
        <w:rPr>
          <w:rFonts w:eastAsia="黑体" w:cs="黑体"/>
          <w:sz w:val="32"/>
          <w:szCs w:val="36"/>
          <w:highlight w:val="none"/>
        </w:rPr>
      </w:pPr>
      <w:r>
        <w:rPr>
          <w:rFonts w:hint="eastAsia" w:eastAsia="黑体" w:cs="黑体"/>
          <w:sz w:val="32"/>
          <w:szCs w:val="36"/>
          <w:highlight w:val="none"/>
        </w:rPr>
        <w:t>十三、国有资产占用情况说明</w:t>
      </w:r>
    </w:p>
    <w:p>
      <w:pPr>
        <w:spacing w:line="600" w:lineRule="exact"/>
        <w:ind w:firstLine="640" w:firstLineChars="200"/>
        <w:rPr>
          <w:rFonts w:eastAsia="仿宋_GB2312" w:cstheme="minorBidi"/>
          <w:sz w:val="32"/>
          <w:szCs w:val="32"/>
          <w:highlight w:val="none"/>
        </w:rPr>
      </w:pPr>
      <w:r>
        <w:rPr>
          <w:rFonts w:hint="eastAsia" w:ascii="仿宋_GB2312" w:hAnsi="仿宋_GB2312" w:eastAsia="仿宋_GB2312" w:cs="仿宋_GB2312"/>
          <w:snapToGrid w:val="0"/>
          <w:color w:val="000000"/>
          <w:kern w:val="0"/>
          <w:sz w:val="32"/>
          <w:szCs w:val="32"/>
          <w:lang w:val="en-US" w:eastAsia="zh-CN" w:bidi="ar-SA"/>
        </w:rPr>
        <w:t>内蒙古自治区卫生健康委员会综合保障</w:t>
      </w:r>
      <w:r>
        <w:rPr>
          <w:rFonts w:hint="eastAsia" w:ascii="Times New Roman" w:hAnsi="Times New Roman" w:eastAsia="仿宋_GB2312" w:cs="仿宋"/>
          <w:sz w:val="32"/>
          <w:szCs w:val="32"/>
          <w:highlight w:val="none"/>
          <w:lang w:val="en-US" w:eastAsia="zh-CN"/>
        </w:rPr>
        <w:t>中心2026</w:t>
      </w:r>
      <w:r>
        <w:rPr>
          <w:rFonts w:eastAsia="仿宋_GB2312"/>
          <w:sz w:val="32"/>
          <w:szCs w:val="32"/>
          <w:highlight w:val="none"/>
        </w:rPr>
        <w:t>共有车辆</w:t>
      </w:r>
      <w:r>
        <w:rPr>
          <w:rFonts w:hint="eastAsia" w:eastAsia="仿宋_GB2312"/>
          <w:sz w:val="32"/>
          <w:szCs w:val="32"/>
          <w:highlight w:val="none"/>
          <w:u w:val="single"/>
          <w:lang w:val="en-US" w:eastAsia="zh-CN"/>
        </w:rPr>
        <w:t>1</w:t>
      </w:r>
      <w:r>
        <w:rPr>
          <w:rFonts w:eastAsia="仿宋_GB2312"/>
          <w:sz w:val="32"/>
          <w:szCs w:val="32"/>
          <w:highlight w:val="none"/>
        </w:rPr>
        <w:t>辆，其中，一般公务用车</w:t>
      </w:r>
      <w:r>
        <w:rPr>
          <w:rFonts w:hint="eastAsia" w:eastAsia="仿宋_GB2312"/>
          <w:sz w:val="32"/>
          <w:szCs w:val="32"/>
          <w:highlight w:val="none"/>
          <w:u w:val="single"/>
          <w:lang w:val="en-US" w:eastAsia="zh-CN"/>
        </w:rPr>
        <w:t>1</w:t>
      </w:r>
      <w:r>
        <w:rPr>
          <w:rFonts w:eastAsia="仿宋_GB2312"/>
          <w:sz w:val="32"/>
          <w:szCs w:val="32"/>
          <w:highlight w:val="none"/>
        </w:rPr>
        <w:t>辆、执法执勤用车</w:t>
      </w:r>
      <w:r>
        <w:rPr>
          <w:rFonts w:hint="eastAsia" w:eastAsia="仿宋_GB2312"/>
          <w:sz w:val="32"/>
          <w:szCs w:val="32"/>
          <w:highlight w:val="none"/>
          <w:u w:val="single"/>
          <w:lang w:val="en-US" w:eastAsia="zh-CN"/>
        </w:rPr>
        <w:t>0</w:t>
      </w:r>
      <w:r>
        <w:rPr>
          <w:rFonts w:eastAsia="仿宋_GB2312"/>
          <w:sz w:val="32"/>
          <w:szCs w:val="32"/>
          <w:highlight w:val="none"/>
        </w:rPr>
        <w:t>辆、特种专业技术用车</w:t>
      </w:r>
      <w:r>
        <w:rPr>
          <w:rFonts w:hint="eastAsia" w:eastAsia="仿宋_GB2312"/>
          <w:sz w:val="32"/>
          <w:szCs w:val="32"/>
          <w:highlight w:val="none"/>
          <w:u w:val="single"/>
          <w:lang w:val="en-US" w:eastAsia="zh-CN"/>
        </w:rPr>
        <w:t>0</w:t>
      </w:r>
      <w:r>
        <w:rPr>
          <w:rFonts w:eastAsia="仿宋_GB2312"/>
          <w:sz w:val="32"/>
          <w:szCs w:val="32"/>
          <w:highlight w:val="none"/>
        </w:rPr>
        <w:t>辆、业务用车</w:t>
      </w:r>
      <w:r>
        <w:rPr>
          <w:rFonts w:hint="eastAsia" w:eastAsia="仿宋_GB2312"/>
          <w:sz w:val="32"/>
          <w:szCs w:val="32"/>
          <w:highlight w:val="none"/>
          <w:u w:val="single"/>
          <w:lang w:val="en-US" w:eastAsia="zh-CN"/>
        </w:rPr>
        <w:t>0</w:t>
      </w:r>
      <w:r>
        <w:rPr>
          <w:rFonts w:eastAsia="仿宋_GB2312"/>
          <w:sz w:val="32"/>
          <w:szCs w:val="32"/>
          <w:highlight w:val="none"/>
        </w:rPr>
        <w:t>辆、其他用车</w:t>
      </w:r>
      <w:r>
        <w:rPr>
          <w:rFonts w:hint="eastAsia" w:eastAsia="仿宋_GB2312"/>
          <w:sz w:val="32"/>
          <w:szCs w:val="32"/>
          <w:highlight w:val="none"/>
          <w:lang w:val="en-US" w:eastAsia="zh-CN"/>
        </w:rPr>
        <w:t>0</w:t>
      </w:r>
      <w:r>
        <w:rPr>
          <w:rFonts w:eastAsia="仿宋_GB2312"/>
          <w:sz w:val="32"/>
          <w:szCs w:val="32"/>
          <w:highlight w:val="none"/>
        </w:rPr>
        <w:t>辆等。单价50万元（含）以上的通用设备</w:t>
      </w:r>
      <w:r>
        <w:rPr>
          <w:rFonts w:hint="eastAsia" w:eastAsia="仿宋_GB2312"/>
          <w:sz w:val="32"/>
          <w:szCs w:val="32"/>
          <w:highlight w:val="none"/>
          <w:u w:val="single"/>
          <w:lang w:val="en-US" w:eastAsia="zh-CN"/>
        </w:rPr>
        <w:t>0</w:t>
      </w:r>
      <w:r>
        <w:rPr>
          <w:rFonts w:eastAsia="仿宋_GB2312"/>
          <w:sz w:val="32"/>
          <w:szCs w:val="32"/>
          <w:highlight w:val="none"/>
        </w:rPr>
        <w:t>台（套），单价100万元（含）以上的专用设备</w:t>
      </w:r>
      <w:r>
        <w:rPr>
          <w:rFonts w:hint="eastAsia" w:eastAsia="仿宋_GB2312"/>
          <w:sz w:val="32"/>
          <w:szCs w:val="32"/>
          <w:highlight w:val="none"/>
          <w:u w:val="single"/>
          <w:lang w:val="en-US" w:eastAsia="zh-CN"/>
        </w:rPr>
        <w:t>0</w:t>
      </w:r>
      <w:r>
        <w:rPr>
          <w:rFonts w:eastAsia="仿宋_GB2312"/>
          <w:sz w:val="32"/>
          <w:szCs w:val="32"/>
          <w:highlight w:val="none"/>
        </w:rPr>
        <w:t>台（套）。</w:t>
      </w:r>
    </w:p>
    <w:p>
      <w:pPr>
        <w:spacing w:line="600" w:lineRule="exact"/>
        <w:ind w:left="0" w:leftChars="0" w:firstLine="640" w:firstLineChars="200"/>
        <w:outlineLvl w:val="2"/>
        <w:rPr>
          <w:rFonts w:eastAsia="黑体" w:cs="黑体"/>
          <w:sz w:val="32"/>
          <w:szCs w:val="36"/>
          <w:highlight w:val="none"/>
        </w:rPr>
      </w:pPr>
      <w:r>
        <w:rPr>
          <w:rFonts w:hint="eastAsia" w:eastAsia="黑体" w:cs="黑体"/>
          <w:sz w:val="32"/>
          <w:szCs w:val="36"/>
          <w:highlight w:val="none"/>
        </w:rPr>
        <w:t xml:space="preserve">十四、项目绩效目标情况说明 </w:t>
      </w:r>
    </w:p>
    <w:p>
      <w:pPr>
        <w:spacing w:line="600" w:lineRule="exact"/>
        <w:ind w:firstLine="640" w:firstLineChars="200"/>
        <w:rPr>
          <w:rFonts w:eastAsia="仿宋_GB2312" w:cstheme="minorBidi"/>
          <w:sz w:val="32"/>
          <w:szCs w:val="32"/>
          <w:highlight w:val="none"/>
        </w:rPr>
      </w:pPr>
      <w:r>
        <w:rPr>
          <w:rFonts w:hint="eastAsia" w:ascii="仿宋_GB2312" w:hAnsi="仿宋_GB2312" w:eastAsia="仿宋_GB2312" w:cs="仿宋_GB2312"/>
          <w:snapToGrid w:val="0"/>
          <w:color w:val="000000"/>
          <w:kern w:val="0"/>
          <w:sz w:val="32"/>
          <w:szCs w:val="32"/>
          <w:lang w:val="en-US" w:eastAsia="zh-CN" w:bidi="ar-SA"/>
        </w:rPr>
        <w:t>内蒙古自治区卫生健康委员会综合保障</w:t>
      </w:r>
      <w:r>
        <w:rPr>
          <w:rFonts w:hint="eastAsia" w:ascii="Times New Roman" w:hAnsi="Times New Roman" w:eastAsia="仿宋_GB2312" w:cs="仿宋"/>
          <w:sz w:val="32"/>
          <w:szCs w:val="32"/>
          <w:highlight w:val="none"/>
          <w:lang w:val="en-US" w:eastAsia="zh-CN"/>
        </w:rPr>
        <w:t>中心2026</w:t>
      </w:r>
      <w:r>
        <w:rPr>
          <w:rFonts w:eastAsia="仿宋_GB2312"/>
          <w:sz w:val="32"/>
          <w:szCs w:val="32"/>
          <w:highlight w:val="none"/>
        </w:rPr>
        <w:t>年度</w:t>
      </w:r>
      <w:r>
        <w:rPr>
          <w:rFonts w:hint="eastAsia" w:eastAsia="仿宋_GB2312" w:cstheme="minorBidi"/>
          <w:sz w:val="32"/>
          <w:szCs w:val="32"/>
          <w:highlight w:val="none"/>
        </w:rPr>
        <w:t>填报绩效目标的预算项目</w:t>
      </w:r>
      <w:r>
        <w:rPr>
          <w:rFonts w:hint="eastAsia" w:eastAsia="仿宋_GB2312" w:cstheme="minorBidi"/>
          <w:sz w:val="32"/>
          <w:szCs w:val="32"/>
          <w:highlight w:val="none"/>
          <w:u w:val="single"/>
          <w:lang w:val="en-US" w:eastAsia="zh-CN"/>
        </w:rPr>
        <w:t>4</w:t>
      </w:r>
      <w:r>
        <w:rPr>
          <w:rFonts w:hint="eastAsia" w:eastAsia="仿宋_GB2312" w:cstheme="minorBidi"/>
          <w:sz w:val="32"/>
          <w:szCs w:val="32"/>
          <w:highlight w:val="none"/>
        </w:rPr>
        <w:t>个，公开</w:t>
      </w:r>
      <w:r>
        <w:rPr>
          <w:rFonts w:hint="eastAsia" w:eastAsia="仿宋_GB2312" w:cstheme="minorBidi"/>
          <w:sz w:val="32"/>
          <w:szCs w:val="32"/>
          <w:highlight w:val="none"/>
          <w:lang w:val="en-US" w:eastAsia="zh-CN"/>
        </w:rPr>
        <w:t>项目</w:t>
      </w:r>
      <w:r>
        <w:rPr>
          <w:rFonts w:hint="eastAsia" w:eastAsia="仿宋_GB2312" w:cstheme="minorBidi"/>
          <w:sz w:val="32"/>
          <w:szCs w:val="32"/>
          <w:highlight w:val="none"/>
          <w:u w:val="single"/>
          <w:lang w:val="en-US" w:eastAsia="zh-CN"/>
        </w:rPr>
        <w:t>4</w:t>
      </w:r>
      <w:r>
        <w:rPr>
          <w:rFonts w:hint="eastAsia" w:eastAsia="仿宋_GB2312" w:cstheme="minorBidi"/>
          <w:sz w:val="32"/>
          <w:szCs w:val="32"/>
          <w:highlight w:val="none"/>
        </w:rPr>
        <w:t>个，公开项目占全部预算项目的100</w:t>
      </w:r>
      <w:r>
        <w:rPr>
          <w:rFonts w:hint="eastAsia" w:ascii="仿宋_GB2312" w:hAnsi="仿宋_GB2312" w:eastAsia="仿宋_GB2312" w:cstheme="minorBidi"/>
          <w:sz w:val="32"/>
          <w:szCs w:val="32"/>
          <w:highlight w:val="none"/>
          <w:lang w:eastAsia="zh-CN"/>
        </w:rPr>
        <w:t>%</w:t>
      </w:r>
      <w:r>
        <w:rPr>
          <w:rFonts w:hint="eastAsia" w:eastAsia="仿宋_GB2312" w:cstheme="minorBidi"/>
          <w:sz w:val="32"/>
          <w:szCs w:val="32"/>
          <w:highlight w:val="none"/>
        </w:rPr>
        <w:t>。公开填报绩效目标的项目预算</w:t>
      </w:r>
      <w:r>
        <w:rPr>
          <w:rFonts w:hint="eastAsia" w:eastAsia="仿宋_GB2312"/>
          <w:sz w:val="32"/>
          <w:szCs w:val="32"/>
          <w:highlight w:val="none"/>
          <w:u w:val="single"/>
          <w:lang w:val="en-US" w:eastAsia="zh-CN"/>
        </w:rPr>
        <w:t>1491.53</w:t>
      </w:r>
      <w:r>
        <w:rPr>
          <w:rFonts w:hint="eastAsia" w:eastAsia="仿宋_GB2312" w:cstheme="minorBidi"/>
          <w:sz w:val="32"/>
          <w:szCs w:val="32"/>
          <w:highlight w:val="none"/>
        </w:rPr>
        <w:t>万元，占全部项目预算的100</w:t>
      </w:r>
      <w:r>
        <w:rPr>
          <w:rFonts w:hint="eastAsia" w:ascii="仿宋_GB2312" w:hAnsi="仿宋_GB2312" w:eastAsia="仿宋_GB2312" w:cstheme="minorBidi"/>
          <w:sz w:val="32"/>
          <w:szCs w:val="32"/>
          <w:highlight w:val="none"/>
          <w:lang w:eastAsia="zh-CN"/>
        </w:rPr>
        <w:t>%</w:t>
      </w:r>
      <w:r>
        <w:rPr>
          <w:rFonts w:hint="eastAsia" w:eastAsia="仿宋_GB2312" w:cstheme="minorBidi"/>
          <w:sz w:val="32"/>
          <w:szCs w:val="32"/>
          <w:highlight w:val="none"/>
        </w:rPr>
        <w:t xml:space="preserve">。 </w:t>
      </w:r>
    </w:p>
    <w:p>
      <w:pPr>
        <w:pStyle w:val="2"/>
        <w:spacing w:after="0" w:line="600" w:lineRule="exact"/>
        <w:rPr>
          <w:rFonts w:hint="default" w:ascii="方正小标宋简体" w:hAnsi="方正小标宋简体" w:eastAsia="方正小标宋简体" w:cs="方正小标宋简体"/>
          <w:sz w:val="36"/>
          <w:szCs w:val="36"/>
          <w:highlight w:val="none"/>
        </w:rPr>
      </w:pPr>
    </w:p>
    <w:p>
      <w:pPr>
        <w:pStyle w:val="5"/>
        <w:tabs>
          <w:tab w:val="left" w:pos="4392"/>
        </w:tabs>
        <w:adjustRightInd/>
        <w:snapToGrid/>
        <w:spacing w:before="0" w:after="0" w:line="600" w:lineRule="exact"/>
        <w:ind w:firstLine="0" w:firstLineChars="0"/>
        <w:jc w:val="center"/>
        <w:rPr>
          <w:rFonts w:ascii="方正小标宋简体" w:hAnsi="方正小标宋简体" w:eastAsia="方正小标宋简体" w:cs="方正小标宋简体"/>
          <w:b w:val="0"/>
          <w:bCs w:val="0"/>
          <w:sz w:val="36"/>
          <w:szCs w:val="36"/>
          <w:highlight w:val="none"/>
        </w:rPr>
      </w:pPr>
      <w:bookmarkStart w:id="4" w:name="_Toc15573"/>
      <w:r>
        <w:rPr>
          <w:rFonts w:hint="eastAsia" w:ascii="方正小标宋简体" w:hAnsi="方正小标宋简体" w:eastAsia="方正小标宋简体" w:cs="方正小标宋简体"/>
          <w:b w:val="0"/>
          <w:bCs w:val="0"/>
          <w:sz w:val="36"/>
          <w:szCs w:val="36"/>
          <w:highlight w:val="none"/>
        </w:rPr>
        <w:t>第三部分</w:t>
      </w:r>
      <w:r>
        <w:rPr>
          <w:rFonts w:hint="eastAsia" w:ascii="方正小标宋简体" w:hAnsi="方正小标宋简体" w:eastAsia="方正小标宋简体" w:cs="方正小标宋简体"/>
          <w:b w:val="0"/>
          <w:bCs w:val="0"/>
          <w:sz w:val="36"/>
          <w:szCs w:val="36"/>
          <w:highlight w:val="none"/>
          <w:lang w:val="en-US" w:eastAsia="zh-CN"/>
        </w:rPr>
        <w:t xml:space="preserve">  </w:t>
      </w:r>
      <w:r>
        <w:rPr>
          <w:rFonts w:hint="eastAsia" w:ascii="方正小标宋简体" w:hAnsi="方正小标宋简体" w:eastAsia="方正小标宋简体" w:cs="方正小标宋简体"/>
          <w:b w:val="0"/>
          <w:bCs w:val="0"/>
          <w:sz w:val="36"/>
          <w:szCs w:val="36"/>
          <w:highlight w:val="none"/>
        </w:rPr>
        <w:t>名词解释</w:t>
      </w:r>
      <w:bookmarkEnd w:id="4"/>
    </w:p>
    <w:p>
      <w:pPr>
        <w:rPr>
          <w:sz w:val="36"/>
          <w:szCs w:val="36"/>
          <w:highlight w:val="none"/>
        </w:rPr>
      </w:pPr>
    </w:p>
    <w:p>
      <w:pPr>
        <w:spacing w:line="600" w:lineRule="exact"/>
        <w:ind w:firstLine="643" w:firstLineChars="200"/>
        <w:rPr>
          <w:rFonts w:eastAsia="仿宋_GB2312" w:cstheme="minorBidi"/>
          <w:sz w:val="32"/>
          <w:szCs w:val="32"/>
          <w:highlight w:val="none"/>
        </w:rPr>
      </w:pPr>
      <w:r>
        <w:rPr>
          <w:rFonts w:hint="eastAsia" w:eastAsia="仿宋_GB2312" w:cstheme="minorBidi"/>
          <w:b/>
          <w:bCs/>
          <w:sz w:val="32"/>
          <w:szCs w:val="32"/>
          <w:highlight w:val="none"/>
        </w:rPr>
        <w:t>一、财政拨款：</w:t>
      </w:r>
      <w:r>
        <w:rPr>
          <w:rFonts w:hint="eastAsia" w:eastAsia="仿宋_GB2312" w:cstheme="minorBidi"/>
          <w:sz w:val="32"/>
          <w:szCs w:val="32"/>
          <w:highlight w:val="none"/>
        </w:rPr>
        <w:t>从同级财政部门取得的各类财政拨款，包括一般公共预算拨款、政府性基金预算拨款、国有资本经营预算拨款。</w:t>
      </w:r>
    </w:p>
    <w:p>
      <w:pPr>
        <w:spacing w:line="600" w:lineRule="exact"/>
        <w:ind w:firstLine="643" w:firstLineChars="200"/>
        <w:rPr>
          <w:highlight w:val="none"/>
        </w:rPr>
      </w:pPr>
      <w:r>
        <w:rPr>
          <w:rFonts w:hint="eastAsia" w:eastAsia="仿宋_GB2312" w:cstheme="minorBidi"/>
          <w:b/>
          <w:bCs/>
          <w:sz w:val="32"/>
          <w:szCs w:val="32"/>
          <w:highlight w:val="none"/>
        </w:rPr>
        <w:t>二、一般公共预算拨款收入：</w:t>
      </w:r>
      <w:r>
        <w:rPr>
          <w:rFonts w:hint="eastAsia" w:ascii="Times New Roman" w:hAnsi="Times New Roman" w:eastAsia="仿宋_GB2312" w:cs="仿宋"/>
          <w:bCs/>
          <w:sz w:val="30"/>
          <w:szCs w:val="30"/>
          <w:highlight w:val="none"/>
        </w:rPr>
        <w:t>指财政当年拨付的资金。</w:t>
      </w:r>
    </w:p>
    <w:p>
      <w:pPr>
        <w:spacing w:line="600" w:lineRule="exact"/>
        <w:ind w:firstLine="643" w:firstLineChars="200"/>
        <w:rPr>
          <w:rFonts w:hint="eastAsia" w:eastAsia="仿宋_GB2312" w:cstheme="minorBidi"/>
          <w:b/>
          <w:bCs/>
          <w:sz w:val="32"/>
          <w:szCs w:val="32"/>
          <w:highlight w:val="none"/>
        </w:rPr>
      </w:pPr>
      <w:r>
        <w:rPr>
          <w:rFonts w:hint="eastAsia" w:eastAsia="仿宋_GB2312" w:cstheme="minorBidi"/>
          <w:b/>
          <w:bCs/>
          <w:sz w:val="32"/>
          <w:szCs w:val="32"/>
          <w:highlight w:val="none"/>
        </w:rPr>
        <w:t>三、事业收入：</w:t>
      </w:r>
      <w:r>
        <w:rPr>
          <w:rFonts w:hint="eastAsia" w:eastAsia="仿宋_GB2312" w:cstheme="minorBidi"/>
          <w:b w:val="0"/>
          <w:bCs w:val="0"/>
          <w:sz w:val="32"/>
          <w:szCs w:val="32"/>
          <w:highlight w:val="none"/>
        </w:rPr>
        <w:t>指事业单位开展专业业务活动及辅助活动所取得的收入。</w:t>
      </w:r>
    </w:p>
    <w:p>
      <w:pPr>
        <w:spacing w:line="600" w:lineRule="exact"/>
        <w:ind w:firstLine="643" w:firstLineChars="200"/>
        <w:rPr>
          <w:rFonts w:hint="eastAsia" w:eastAsia="仿宋_GB2312" w:cstheme="minorBidi"/>
          <w:sz w:val="32"/>
          <w:szCs w:val="32"/>
          <w:highlight w:val="none"/>
        </w:rPr>
      </w:pPr>
      <w:r>
        <w:rPr>
          <w:rFonts w:hint="eastAsia" w:eastAsia="仿宋_GB2312" w:cstheme="minorBidi"/>
          <w:b/>
          <w:bCs/>
          <w:sz w:val="32"/>
          <w:szCs w:val="32"/>
          <w:highlight w:val="none"/>
        </w:rPr>
        <w:t>四、单位资金：</w:t>
      </w:r>
      <w:r>
        <w:rPr>
          <w:rFonts w:hint="eastAsia" w:eastAsia="仿宋_GB2312" w:cstheme="minorBidi"/>
          <w:sz w:val="32"/>
          <w:szCs w:val="32"/>
          <w:highlight w:val="none"/>
        </w:rPr>
        <w:t>除财政拨款收入和财政专户管理资金以外的收入，包括事业收入（不含教育收费）、上级补助收入、附属单位上缴收入、事业单位经营收入及其他收入（包含债务收入、投资收益等）。</w:t>
      </w:r>
    </w:p>
    <w:p>
      <w:pPr>
        <w:spacing w:line="600" w:lineRule="exact"/>
        <w:ind w:firstLine="643" w:firstLineChars="200"/>
        <w:rPr>
          <w:rFonts w:hint="eastAsia" w:eastAsia="仿宋_GB2312" w:cstheme="minorBidi"/>
          <w:sz w:val="32"/>
          <w:szCs w:val="32"/>
          <w:highlight w:val="none"/>
        </w:rPr>
      </w:pPr>
      <w:r>
        <w:rPr>
          <w:rFonts w:hint="eastAsia" w:eastAsia="仿宋_GB2312" w:cstheme="minorBidi"/>
          <w:b/>
          <w:bCs/>
          <w:sz w:val="32"/>
          <w:szCs w:val="32"/>
          <w:highlight w:val="none"/>
        </w:rPr>
        <w:t>五、基本支出：</w:t>
      </w:r>
      <w:r>
        <w:rPr>
          <w:rFonts w:hint="eastAsia" w:eastAsia="仿宋_GB2312" w:cstheme="minorBidi"/>
          <w:sz w:val="32"/>
          <w:szCs w:val="32"/>
          <w:highlight w:val="none"/>
        </w:rPr>
        <w:t>指为保障机构正常运转、完成工作任务而发生的人员支出和公用支出。</w:t>
      </w:r>
    </w:p>
    <w:p>
      <w:pPr>
        <w:spacing w:line="600" w:lineRule="exact"/>
        <w:ind w:firstLine="643" w:firstLineChars="200"/>
        <w:rPr>
          <w:rFonts w:hint="eastAsia" w:eastAsia="仿宋_GB2312" w:cstheme="minorBidi"/>
          <w:sz w:val="32"/>
          <w:szCs w:val="32"/>
          <w:highlight w:val="none"/>
        </w:rPr>
      </w:pPr>
      <w:r>
        <w:rPr>
          <w:rFonts w:hint="eastAsia" w:eastAsia="仿宋_GB2312" w:cstheme="minorBidi"/>
          <w:b/>
          <w:bCs/>
          <w:sz w:val="32"/>
          <w:szCs w:val="32"/>
          <w:highlight w:val="none"/>
        </w:rPr>
        <w:t>六、项目支出：</w:t>
      </w:r>
      <w:r>
        <w:rPr>
          <w:rFonts w:hint="eastAsia" w:eastAsia="仿宋_GB2312" w:cstheme="minorBidi"/>
          <w:sz w:val="32"/>
          <w:szCs w:val="32"/>
          <w:highlight w:val="none"/>
        </w:rPr>
        <w:t>指在基本支出之外为完成特定工作任务和事业发展目标所发生的支出。</w:t>
      </w:r>
    </w:p>
    <w:p>
      <w:pPr>
        <w:spacing w:line="600" w:lineRule="exact"/>
        <w:ind w:firstLine="643" w:firstLineChars="200"/>
        <w:rPr>
          <w:rFonts w:hint="eastAsia" w:eastAsia="仿宋_GB2312" w:cstheme="minorBidi"/>
          <w:sz w:val="32"/>
          <w:szCs w:val="32"/>
          <w:highlight w:val="none"/>
        </w:rPr>
      </w:pPr>
      <w:r>
        <w:rPr>
          <w:rFonts w:hint="eastAsia" w:eastAsia="仿宋_GB2312" w:cstheme="minorBidi"/>
          <w:b/>
          <w:bCs/>
          <w:sz w:val="32"/>
          <w:szCs w:val="32"/>
          <w:highlight w:val="none"/>
        </w:rPr>
        <w:t>七、对个人和家庭的补助：</w:t>
      </w:r>
      <w:r>
        <w:rPr>
          <w:rFonts w:hint="eastAsia" w:eastAsia="仿宋_GB2312" w:cstheme="minorBidi"/>
          <w:sz w:val="32"/>
          <w:szCs w:val="32"/>
          <w:highlight w:val="none"/>
        </w:rPr>
        <w:t>是指政府用于对个人和家庭的补助支出。</w:t>
      </w:r>
    </w:p>
    <w:p>
      <w:pPr>
        <w:spacing w:line="600" w:lineRule="exact"/>
        <w:ind w:firstLine="643" w:firstLineChars="200"/>
        <w:rPr>
          <w:rFonts w:hint="eastAsia" w:eastAsia="仿宋_GB2312" w:cstheme="minorBidi"/>
          <w:sz w:val="32"/>
          <w:szCs w:val="32"/>
          <w:highlight w:val="none"/>
        </w:rPr>
      </w:pPr>
      <w:r>
        <w:rPr>
          <w:rFonts w:hint="eastAsia" w:eastAsia="仿宋_GB2312" w:cstheme="minorBidi"/>
          <w:b/>
          <w:bCs/>
          <w:sz w:val="32"/>
          <w:szCs w:val="32"/>
          <w:highlight w:val="none"/>
        </w:rPr>
        <w:t>八、“三公”经费：</w:t>
      </w:r>
      <w:r>
        <w:rPr>
          <w:rFonts w:hint="eastAsia" w:eastAsia="仿宋_GB2312" w:cstheme="minorBidi"/>
          <w:sz w:val="32"/>
          <w:szCs w:val="32"/>
          <w:highlight w:val="none"/>
        </w:rPr>
        <w:t>指部门</w:t>
      </w:r>
      <w:r>
        <w:rPr>
          <w:rFonts w:hint="eastAsia" w:eastAsia="仿宋_GB2312" w:cstheme="minorBidi"/>
          <w:sz w:val="32"/>
          <w:szCs w:val="32"/>
          <w:highlight w:val="none"/>
          <w:lang w:eastAsia="zh-CN"/>
        </w:rPr>
        <w:t>（</w:t>
      </w:r>
      <w:r>
        <w:rPr>
          <w:rFonts w:hint="eastAsia" w:eastAsia="仿宋_GB2312" w:cstheme="minorBidi"/>
          <w:sz w:val="32"/>
          <w:szCs w:val="32"/>
          <w:highlight w:val="none"/>
        </w:rPr>
        <w:t>单位</w:t>
      </w:r>
      <w:r>
        <w:rPr>
          <w:rFonts w:hint="eastAsia" w:eastAsia="仿宋_GB2312" w:cstheme="minorBidi"/>
          <w:sz w:val="32"/>
          <w:szCs w:val="32"/>
          <w:highlight w:val="none"/>
          <w:lang w:eastAsia="zh-CN"/>
        </w:rPr>
        <w:t>）</w:t>
      </w:r>
      <w:r>
        <w:rPr>
          <w:rFonts w:hint="eastAsia" w:eastAsia="仿宋_GB2312" w:cstheme="minorBidi"/>
          <w:sz w:val="32"/>
          <w:szCs w:val="32"/>
          <w:highlight w:val="none"/>
        </w:rPr>
        <w:t>用一般公共预算财政拨款安排的因公出国（境）费、公务用车购置及运行维护费和公务接待费。其中，因公出国（境）费反映部门</w:t>
      </w:r>
      <w:r>
        <w:rPr>
          <w:rFonts w:hint="eastAsia" w:eastAsia="仿宋_GB2312" w:cstheme="minorBidi"/>
          <w:sz w:val="32"/>
          <w:szCs w:val="32"/>
          <w:highlight w:val="none"/>
          <w:lang w:eastAsia="zh-CN"/>
        </w:rPr>
        <w:t>（</w:t>
      </w:r>
      <w:r>
        <w:rPr>
          <w:rFonts w:hint="eastAsia" w:eastAsia="仿宋_GB2312" w:cstheme="minorBidi"/>
          <w:sz w:val="32"/>
          <w:szCs w:val="32"/>
          <w:highlight w:val="none"/>
        </w:rPr>
        <w:t>单位</w:t>
      </w:r>
      <w:r>
        <w:rPr>
          <w:rFonts w:hint="eastAsia" w:eastAsia="仿宋_GB2312" w:cstheme="minorBidi"/>
          <w:sz w:val="32"/>
          <w:szCs w:val="32"/>
          <w:highlight w:val="none"/>
          <w:lang w:eastAsia="zh-CN"/>
        </w:rPr>
        <w:t>）</w:t>
      </w:r>
      <w:r>
        <w:rPr>
          <w:rFonts w:hint="eastAsia" w:eastAsia="仿宋_GB2312" w:cstheme="minorBidi"/>
          <w:sz w:val="32"/>
          <w:szCs w:val="32"/>
          <w:highlight w:val="none"/>
        </w:rPr>
        <w:t>公务出国（境）的住宿费、旅费、伙食补助费、杂费、培训费等支出；公务用车购置及运行维护费反映部门</w:t>
      </w:r>
      <w:r>
        <w:rPr>
          <w:rFonts w:hint="eastAsia" w:eastAsia="仿宋_GB2312" w:cstheme="minorBidi"/>
          <w:sz w:val="32"/>
          <w:szCs w:val="32"/>
          <w:highlight w:val="none"/>
          <w:lang w:eastAsia="zh-CN"/>
        </w:rPr>
        <w:t>（</w:t>
      </w:r>
      <w:r>
        <w:rPr>
          <w:rFonts w:hint="eastAsia" w:eastAsia="仿宋_GB2312" w:cstheme="minorBidi"/>
          <w:sz w:val="32"/>
          <w:szCs w:val="32"/>
          <w:highlight w:val="none"/>
        </w:rPr>
        <w:t>单位</w:t>
      </w:r>
      <w:r>
        <w:rPr>
          <w:rFonts w:hint="eastAsia" w:eastAsia="仿宋_GB2312" w:cstheme="minorBidi"/>
          <w:sz w:val="32"/>
          <w:szCs w:val="32"/>
          <w:highlight w:val="none"/>
          <w:lang w:eastAsia="zh-CN"/>
        </w:rPr>
        <w:t>）</w:t>
      </w:r>
      <w:r>
        <w:rPr>
          <w:rFonts w:hint="eastAsia" w:eastAsia="仿宋_GB2312" w:cstheme="minorBidi"/>
          <w:sz w:val="32"/>
          <w:szCs w:val="32"/>
          <w:highlight w:val="none"/>
        </w:rPr>
        <w:t>公务用车购置费、燃料费、维修费、过路过桥费、保险费、安全奖励费用等支出；公务接待费反映部门</w:t>
      </w:r>
      <w:r>
        <w:rPr>
          <w:rFonts w:hint="eastAsia" w:eastAsia="仿宋_GB2312" w:cstheme="minorBidi"/>
          <w:sz w:val="32"/>
          <w:szCs w:val="32"/>
          <w:highlight w:val="none"/>
          <w:lang w:eastAsia="zh-CN"/>
        </w:rPr>
        <w:t>（</w:t>
      </w:r>
      <w:r>
        <w:rPr>
          <w:rFonts w:hint="eastAsia" w:eastAsia="仿宋_GB2312" w:cstheme="minorBidi"/>
          <w:sz w:val="32"/>
          <w:szCs w:val="32"/>
          <w:highlight w:val="none"/>
        </w:rPr>
        <w:t>单位</w:t>
      </w:r>
      <w:r>
        <w:rPr>
          <w:rFonts w:hint="eastAsia" w:eastAsia="仿宋_GB2312" w:cstheme="minorBidi"/>
          <w:sz w:val="32"/>
          <w:szCs w:val="32"/>
          <w:highlight w:val="none"/>
          <w:lang w:eastAsia="zh-CN"/>
        </w:rPr>
        <w:t>）</w:t>
      </w:r>
      <w:r>
        <w:rPr>
          <w:rFonts w:hint="eastAsia" w:eastAsia="仿宋_GB2312" w:cstheme="minorBidi"/>
          <w:sz w:val="32"/>
          <w:szCs w:val="32"/>
          <w:highlight w:val="none"/>
        </w:rPr>
        <w:t>按规定开支的各类公务接待（含外宾接待）支出。</w:t>
      </w:r>
    </w:p>
    <w:p>
      <w:pPr>
        <w:spacing w:line="600" w:lineRule="exact"/>
        <w:ind w:firstLine="643" w:firstLineChars="200"/>
        <w:rPr>
          <w:rFonts w:hint="eastAsia" w:eastAsia="仿宋_GB2312" w:cstheme="minorBidi"/>
          <w:sz w:val="32"/>
          <w:szCs w:val="32"/>
          <w:highlight w:val="none"/>
        </w:rPr>
      </w:pPr>
      <w:r>
        <w:rPr>
          <w:rFonts w:hint="eastAsia" w:eastAsia="仿宋_GB2312" w:cstheme="minorBidi"/>
          <w:b/>
          <w:bCs/>
          <w:sz w:val="32"/>
          <w:szCs w:val="32"/>
          <w:highlight w:val="none"/>
        </w:rPr>
        <w:t>九、</w:t>
      </w:r>
      <w:r>
        <w:rPr>
          <w:rFonts w:hint="eastAsia" w:eastAsia="仿宋_GB2312" w:cstheme="minorBidi"/>
          <w:b/>
          <w:bCs/>
          <w:sz w:val="32"/>
          <w:szCs w:val="32"/>
          <w:highlight w:val="none"/>
          <w:lang w:val="en-US" w:eastAsia="zh-CN"/>
        </w:rPr>
        <w:t>机构</w:t>
      </w:r>
      <w:r>
        <w:rPr>
          <w:rFonts w:hint="eastAsia" w:eastAsia="仿宋_GB2312" w:cstheme="minorBidi"/>
          <w:b/>
          <w:bCs/>
          <w:sz w:val="32"/>
          <w:szCs w:val="32"/>
          <w:highlight w:val="none"/>
        </w:rPr>
        <w:t>运行经费：</w:t>
      </w:r>
      <w:r>
        <w:rPr>
          <w:rFonts w:hint="eastAsia" w:eastAsia="仿宋_GB2312" w:cstheme="minorBidi"/>
          <w:sz w:val="32"/>
          <w:szCs w:val="32"/>
          <w:highlight w:val="none"/>
        </w:rPr>
        <w:t>指部门</w:t>
      </w:r>
      <w:r>
        <w:rPr>
          <w:rFonts w:hint="eastAsia" w:eastAsia="仿宋_GB2312" w:cstheme="minorBidi"/>
          <w:sz w:val="32"/>
          <w:szCs w:val="32"/>
          <w:highlight w:val="none"/>
          <w:lang w:eastAsia="zh-CN"/>
        </w:rPr>
        <w:t>（</w:t>
      </w:r>
      <w:r>
        <w:rPr>
          <w:rFonts w:hint="eastAsia" w:eastAsia="仿宋_GB2312" w:cstheme="minorBidi"/>
          <w:sz w:val="32"/>
          <w:szCs w:val="32"/>
          <w:highlight w:val="none"/>
        </w:rPr>
        <w:t>单位</w:t>
      </w:r>
      <w:r>
        <w:rPr>
          <w:rFonts w:hint="eastAsia" w:eastAsia="仿宋_GB2312" w:cstheme="minorBidi"/>
          <w:sz w:val="32"/>
          <w:szCs w:val="32"/>
          <w:highlight w:val="none"/>
          <w:lang w:eastAsia="zh-CN"/>
        </w:rPr>
        <w:t>）</w:t>
      </w:r>
      <w:r>
        <w:rPr>
          <w:rFonts w:hint="eastAsia" w:eastAsia="仿宋_GB2312" w:cstheme="minorBidi"/>
          <w:sz w:val="32"/>
          <w:szCs w:val="32"/>
          <w:highlight w:val="none"/>
        </w:rPr>
        <w:t>使用一般公共预算安排的基本支出中的日常公用经费支出，包括办公及印刷费、邮电费、差旅费、会议费、福利费、日常维修费、专用材料及一般设备购置费、办公用房水电费、办公用房取暖费、办公用房物业管理费、公务用车运行维护费及其他费用等。</w:t>
      </w:r>
    </w:p>
    <w:p>
      <w:pPr>
        <w:spacing w:line="600" w:lineRule="exact"/>
        <w:ind w:firstLine="643" w:firstLineChars="200"/>
        <w:rPr>
          <w:rFonts w:hint="eastAsia" w:eastAsia="仿宋_GB2312" w:cstheme="minorBidi"/>
          <w:sz w:val="32"/>
          <w:szCs w:val="32"/>
          <w:highlight w:val="none"/>
        </w:rPr>
      </w:pPr>
      <w:r>
        <w:rPr>
          <w:rFonts w:hint="eastAsia" w:eastAsia="仿宋_GB2312" w:cstheme="minorBidi"/>
          <w:b/>
          <w:bCs/>
          <w:sz w:val="32"/>
          <w:szCs w:val="32"/>
          <w:highlight w:val="none"/>
        </w:rPr>
        <w:t>十、工资福利支出（支出经济分类科目类级）：</w:t>
      </w:r>
      <w:r>
        <w:rPr>
          <w:rFonts w:hint="eastAsia" w:eastAsia="仿宋_GB2312" w:cstheme="minorBidi"/>
          <w:sz w:val="32"/>
          <w:szCs w:val="32"/>
          <w:highlight w:val="none"/>
        </w:rPr>
        <w:t xml:space="preserve"> 反映单位 开支的在职职工和编制外长期聘用人员的各类活动报酬，以及为上述人员缴纳的各项社会保险费等。</w:t>
      </w:r>
    </w:p>
    <w:p>
      <w:pPr>
        <w:spacing w:line="600" w:lineRule="exact"/>
        <w:ind w:firstLine="643" w:firstLineChars="200"/>
        <w:rPr>
          <w:rFonts w:hint="eastAsia" w:eastAsia="仿宋_GB2312" w:cstheme="minorBidi"/>
          <w:sz w:val="32"/>
          <w:szCs w:val="32"/>
          <w:highlight w:val="none"/>
        </w:rPr>
      </w:pPr>
      <w:r>
        <w:rPr>
          <w:rFonts w:hint="eastAsia" w:eastAsia="仿宋_GB2312" w:cstheme="minorBidi"/>
          <w:b/>
          <w:bCs/>
          <w:sz w:val="32"/>
          <w:szCs w:val="32"/>
          <w:highlight w:val="none"/>
        </w:rPr>
        <w:t>十</w:t>
      </w:r>
      <w:r>
        <w:rPr>
          <w:rFonts w:hint="eastAsia" w:eastAsia="仿宋_GB2312" w:cstheme="minorBidi"/>
          <w:b/>
          <w:bCs/>
          <w:sz w:val="32"/>
          <w:szCs w:val="32"/>
          <w:highlight w:val="none"/>
          <w:lang w:eastAsia="zh-CN"/>
        </w:rPr>
        <w:t>一</w:t>
      </w:r>
      <w:r>
        <w:rPr>
          <w:rFonts w:hint="eastAsia" w:eastAsia="仿宋_GB2312" w:cstheme="minorBidi"/>
          <w:b/>
          <w:bCs/>
          <w:sz w:val="32"/>
          <w:szCs w:val="32"/>
          <w:highlight w:val="none"/>
        </w:rPr>
        <w:t>、商品和服务支出（支出经济分类科目类级）：</w:t>
      </w:r>
      <w:r>
        <w:rPr>
          <w:rFonts w:hint="eastAsia" w:eastAsia="仿宋_GB2312" w:cstheme="minorBidi"/>
          <w:sz w:val="32"/>
          <w:szCs w:val="32"/>
          <w:highlight w:val="none"/>
        </w:rPr>
        <w:t xml:space="preserve"> 反映单 位购买商品和服务的支出（不包括用于购置固定资产的支出、战略性和应急储备支出）。</w:t>
      </w:r>
    </w:p>
    <w:p>
      <w:pPr>
        <w:spacing w:line="600" w:lineRule="exact"/>
        <w:jc w:val="center"/>
        <w:rPr>
          <w:rFonts w:ascii="方正小标宋简体" w:hAnsi="方正小标宋简体" w:eastAsia="方正小标宋简体" w:cs="方正小标宋简体"/>
          <w:sz w:val="36"/>
          <w:szCs w:val="36"/>
          <w:highlight w:val="none"/>
        </w:rPr>
      </w:pPr>
    </w:p>
    <w:p>
      <w:pPr>
        <w:pStyle w:val="5"/>
        <w:tabs>
          <w:tab w:val="left" w:pos="4392"/>
        </w:tabs>
        <w:adjustRightInd/>
        <w:snapToGrid/>
        <w:spacing w:before="0" w:after="0" w:line="600" w:lineRule="exact"/>
        <w:ind w:firstLine="0" w:firstLineChars="0"/>
        <w:jc w:val="center"/>
        <w:rPr>
          <w:rFonts w:ascii="方正小标宋简体" w:hAnsi="方正小标宋简体" w:eastAsia="方正小标宋简体" w:cs="方正小标宋简体"/>
          <w:b w:val="0"/>
          <w:bCs w:val="0"/>
          <w:sz w:val="36"/>
          <w:szCs w:val="36"/>
          <w:highlight w:val="none"/>
        </w:rPr>
      </w:pPr>
      <w:bookmarkStart w:id="5" w:name="_Toc21331"/>
      <w:r>
        <w:rPr>
          <w:rFonts w:hint="eastAsia" w:ascii="方正小标宋简体" w:hAnsi="方正小标宋简体" w:eastAsia="方正小标宋简体" w:cs="方正小标宋简体"/>
          <w:b w:val="0"/>
          <w:bCs w:val="0"/>
          <w:sz w:val="36"/>
          <w:szCs w:val="36"/>
          <w:highlight w:val="none"/>
        </w:rPr>
        <w:t>第四部分</w:t>
      </w:r>
      <w:r>
        <w:rPr>
          <w:rFonts w:hint="eastAsia" w:ascii="方正小标宋简体" w:hAnsi="方正小标宋简体" w:eastAsia="方正小标宋简体" w:cs="方正小标宋简体"/>
          <w:b w:val="0"/>
          <w:bCs w:val="0"/>
          <w:sz w:val="36"/>
          <w:szCs w:val="36"/>
          <w:highlight w:val="none"/>
          <w:lang w:val="en-US" w:eastAsia="zh-CN"/>
        </w:rPr>
        <w:t xml:space="preserve">  </w:t>
      </w:r>
      <w:r>
        <w:rPr>
          <w:rFonts w:hint="eastAsia" w:ascii="方正小标宋简体" w:hAnsi="方正小标宋简体" w:eastAsia="方正小标宋简体" w:cs="方正小标宋简体"/>
          <w:b w:val="0"/>
          <w:bCs w:val="0"/>
          <w:sz w:val="36"/>
          <w:szCs w:val="36"/>
          <w:highlight w:val="none"/>
        </w:rPr>
        <w:t>预算公开联系方式及信息反馈渠道</w:t>
      </w:r>
      <w:bookmarkEnd w:id="5"/>
    </w:p>
    <w:p>
      <w:pPr>
        <w:snapToGrid w:val="0"/>
        <w:spacing w:line="600" w:lineRule="exact"/>
        <w:rPr>
          <w:rFonts w:ascii="方正小标宋简体" w:hAnsi="方正小标宋简体" w:eastAsia="方正小标宋简体" w:cs="方正小标宋简体"/>
          <w:sz w:val="36"/>
          <w:szCs w:val="36"/>
          <w:highlight w:val="none"/>
        </w:rPr>
      </w:pPr>
    </w:p>
    <w:p>
      <w:pPr>
        <w:snapToGrid w:val="0"/>
        <w:spacing w:line="60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本单位预算公开信息反馈和联系方式：</w:t>
      </w:r>
    </w:p>
    <w:p>
      <w:pPr>
        <w:snapToGrid w:val="0"/>
        <w:spacing w:line="600" w:lineRule="exact"/>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联系人：</w:t>
      </w:r>
      <w:r>
        <w:rPr>
          <w:rFonts w:hint="eastAsia" w:ascii="仿宋_GB2312" w:hAnsi="仿宋_GB2312" w:eastAsia="仿宋_GB2312" w:cs="仿宋_GB2312"/>
          <w:sz w:val="32"/>
          <w:szCs w:val="32"/>
          <w:highlight w:val="none"/>
          <w:lang w:eastAsia="zh-CN"/>
        </w:rPr>
        <w:t>张学圆</w:t>
      </w:r>
      <w:r>
        <w:rPr>
          <w:rFonts w:hint="eastAsia" w:ascii="仿宋_GB2312" w:hAnsi="仿宋_GB2312" w:eastAsia="仿宋_GB2312" w:cs="仿宋_GB2312"/>
          <w:sz w:val="32"/>
          <w:szCs w:val="32"/>
          <w:highlight w:val="none"/>
        </w:rPr>
        <w:t xml:space="preserve">           联系电话：</w:t>
      </w:r>
      <w:r>
        <w:rPr>
          <w:rFonts w:hint="eastAsia" w:ascii="仿宋_GB2312" w:hAnsi="仿宋_GB2312" w:eastAsia="仿宋_GB2312" w:cs="仿宋_GB2312"/>
          <w:sz w:val="32"/>
          <w:szCs w:val="32"/>
          <w:highlight w:val="none"/>
          <w:lang w:val="en-US" w:eastAsia="zh-CN"/>
        </w:rPr>
        <w:t>0471-4896847</w:t>
      </w:r>
    </w:p>
    <w:p>
      <w:pPr>
        <w:pStyle w:val="2"/>
        <w:rPr>
          <w:rFonts w:hint="eastAsia" w:ascii="仿宋_GB2312" w:hAnsi="仿宋_GB2312" w:eastAsia="仿宋_GB2312" w:cs="仿宋_GB2312"/>
          <w:sz w:val="32"/>
          <w:szCs w:val="32"/>
          <w:highlight w:val="none"/>
          <w:lang w:val="en-US" w:eastAsia="zh-CN"/>
        </w:rPr>
      </w:pPr>
    </w:p>
    <w:p>
      <w:pPr>
        <w:pStyle w:val="2"/>
        <w:rPr>
          <w:rFonts w:hint="eastAsia" w:ascii="仿宋_GB2312" w:hAnsi="仿宋_GB2312" w:eastAsia="仿宋_GB2312" w:cs="仿宋_GB2312"/>
          <w:sz w:val="32"/>
          <w:szCs w:val="32"/>
          <w:highlight w:val="none"/>
          <w:lang w:val="en-US" w:eastAsia="zh-CN"/>
        </w:rPr>
      </w:pPr>
    </w:p>
    <w:p>
      <w:pPr>
        <w:spacing w:before="296" w:line="228" w:lineRule="auto"/>
        <w:ind w:left="590"/>
        <w:jc w:val="center"/>
        <w:rPr>
          <w:rFonts w:hint="eastAsia" w:ascii="方正小标宋简体" w:hAnsi="方正小标宋简体" w:eastAsia="方正小标宋简体" w:cs="方正小标宋简体"/>
          <w:b w:val="0"/>
          <w:bCs w:val="0"/>
          <w:snapToGrid/>
          <w:kern w:val="2"/>
          <w:sz w:val="36"/>
          <w:szCs w:val="36"/>
          <w:highlight w:val="none"/>
          <w:lang w:val="en-US" w:eastAsia="zh-CN" w:bidi="ar-SA"/>
        </w:rPr>
      </w:pPr>
      <w:r>
        <w:rPr>
          <w:rFonts w:hint="eastAsia" w:ascii="方正小标宋简体" w:hAnsi="方正小标宋简体" w:eastAsia="方正小标宋简体" w:cs="方正小标宋简体"/>
          <w:b w:val="0"/>
          <w:bCs w:val="0"/>
          <w:snapToGrid/>
          <w:kern w:val="2"/>
          <w:sz w:val="36"/>
          <w:szCs w:val="36"/>
          <w:highlight w:val="none"/>
          <w:lang w:val="en-US" w:eastAsia="zh-CN" w:bidi="ar-SA"/>
        </w:rPr>
        <w:t>第五部分  2025年单位预算公开表</w:t>
      </w:r>
    </w:p>
    <w:p>
      <w:pPr>
        <w:pStyle w:val="10"/>
        <w:spacing w:line="308" w:lineRule="auto"/>
      </w:pPr>
    </w:p>
    <w:p>
      <w:pPr>
        <w:pStyle w:val="10"/>
        <w:spacing w:line="309" w:lineRule="auto"/>
        <w:ind w:left="2137" w:leftChars="294" w:hanging="1520" w:hangingChars="500"/>
        <w:rPr>
          <w:rFonts w:ascii="仿宋" w:hAnsi="仿宋" w:eastAsia="仿宋" w:cs="仿宋"/>
          <w:snapToGrid w:val="0"/>
          <w:color w:val="000000"/>
          <w:spacing w:val="-3"/>
          <w:kern w:val="0"/>
          <w:sz w:val="31"/>
          <w:szCs w:val="31"/>
          <w:lang w:val="en-US" w:eastAsia="en-US" w:bidi="ar-SA"/>
        </w:rPr>
      </w:pPr>
      <w:r>
        <w:rPr>
          <w:rFonts w:ascii="仿宋" w:hAnsi="仿宋" w:eastAsia="仿宋" w:cs="仿宋"/>
          <w:snapToGrid w:val="0"/>
          <w:color w:val="000000"/>
          <w:spacing w:val="-3"/>
          <w:kern w:val="0"/>
          <w:sz w:val="31"/>
          <w:szCs w:val="31"/>
          <w:lang w:val="en-US" w:eastAsia="en-US" w:bidi="ar-SA"/>
        </w:rPr>
        <w:t>详见附表：202</w:t>
      </w:r>
      <w:r>
        <w:rPr>
          <w:rFonts w:hint="eastAsia" w:ascii="仿宋" w:hAnsi="仿宋" w:eastAsia="仿宋" w:cs="仿宋"/>
          <w:snapToGrid w:val="0"/>
          <w:color w:val="000000"/>
          <w:spacing w:val="-3"/>
          <w:kern w:val="0"/>
          <w:sz w:val="31"/>
          <w:szCs w:val="31"/>
          <w:lang w:val="en-US" w:eastAsia="zh-CN" w:bidi="ar-SA"/>
        </w:rPr>
        <w:t>5</w:t>
      </w:r>
      <w:r>
        <w:rPr>
          <w:rFonts w:ascii="仿宋" w:hAnsi="仿宋" w:eastAsia="仿宋" w:cs="仿宋"/>
          <w:snapToGrid w:val="0"/>
          <w:color w:val="000000"/>
          <w:spacing w:val="-3"/>
          <w:kern w:val="0"/>
          <w:sz w:val="31"/>
          <w:szCs w:val="31"/>
          <w:lang w:val="en-US" w:eastAsia="en-US" w:bidi="ar-SA"/>
        </w:rPr>
        <w:t>年内蒙古自治区</w:t>
      </w:r>
      <w:r>
        <w:rPr>
          <w:rFonts w:hint="eastAsia" w:ascii="仿宋" w:hAnsi="仿宋" w:eastAsia="仿宋" w:cs="仿宋"/>
          <w:snapToGrid w:val="0"/>
          <w:color w:val="000000"/>
          <w:spacing w:val="-3"/>
          <w:kern w:val="0"/>
          <w:sz w:val="31"/>
          <w:szCs w:val="31"/>
          <w:lang w:val="en-US" w:eastAsia="zh-CN" w:bidi="ar-SA"/>
        </w:rPr>
        <w:t>卫生健康委员会综合保障中心单位</w:t>
      </w:r>
      <w:r>
        <w:rPr>
          <w:rFonts w:ascii="仿宋" w:hAnsi="仿宋" w:eastAsia="仿宋" w:cs="仿宋"/>
          <w:snapToGrid w:val="0"/>
          <w:color w:val="000000"/>
          <w:spacing w:val="-3"/>
          <w:kern w:val="0"/>
          <w:sz w:val="31"/>
          <w:szCs w:val="31"/>
          <w:lang w:val="en-US" w:eastAsia="en-US" w:bidi="ar-SA"/>
        </w:rPr>
        <w:t>预算公开表。</w:t>
      </w:r>
    </w:p>
    <w:p>
      <w:pPr>
        <w:pStyle w:val="2"/>
        <w:rPr>
          <w:rFonts w:hint="default" w:ascii="仿宋_GB2312" w:hAnsi="仿宋_GB2312" w:eastAsia="仿宋_GB2312" w:cs="仿宋_GB2312"/>
          <w:sz w:val="32"/>
          <w:szCs w:val="32"/>
          <w:highlight w:val="none"/>
          <w:lang w:val="en-US" w:eastAsia="zh-CN"/>
        </w:rPr>
      </w:pPr>
    </w:p>
    <w:sectPr>
      <w:footerReference r:id="rId5"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39F6886B-F0C3-4BBE-A74C-D2E8D74EB7A9}"/>
  </w:font>
  <w:font w:name="黑体">
    <w:panose1 w:val="02010609060101010101"/>
    <w:charset w:val="86"/>
    <w:family w:val="auto"/>
    <w:pitch w:val="default"/>
    <w:sig w:usb0="800002BF" w:usb1="38CF7CFA" w:usb2="00000016" w:usb3="00000000" w:csb0="00040001" w:csb1="00000000"/>
    <w:embedRegular r:id="rId2" w:fontKey="{A1FA3E8E-E0FD-40E6-AC99-83E997376A8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embedRegular r:id="rId3" w:fontKey="{31BED42C-7EE1-497A-BDE6-13C7FB5CCA9D}"/>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86"/>
    <w:family w:val="auto"/>
    <w:pitch w:val="default"/>
    <w:sig w:usb0="00000000" w:usb1="00000000" w:usb2="00000000" w:usb3="00000000" w:csb0="00000000" w:csb1="00000000"/>
  </w:font>
  <w:font w:name="等线 Light">
    <w:altName w:val="宋体"/>
    <w:panose1 w:val="02010600030101010101"/>
    <w:charset w:val="86"/>
    <w:family w:val="auto"/>
    <w:pitch w:val="default"/>
    <w:sig w:usb0="00000000" w:usb1="00000000" w:usb2="00000016" w:usb3="00000000" w:csb0="0004000F" w:csb1="00000000"/>
  </w:font>
  <w:font w:name="仿宋_GB2312">
    <w:panose1 w:val="02010609030101010101"/>
    <w:charset w:val="86"/>
    <w:family w:val="modern"/>
    <w:pitch w:val="default"/>
    <w:sig w:usb0="00000001" w:usb1="080E0000" w:usb2="00000000" w:usb3="00000000" w:csb0="00040000" w:csb1="00000000"/>
    <w:embedRegular r:id="rId4" w:fontKey="{D67CEC7D-EA65-4515-B3B2-28D97C2CA64B}"/>
  </w:font>
  <w:font w:name="Helvetica">
    <w:altName w:val="Arial"/>
    <w:panose1 w:val="020B0604020202020204"/>
    <w:charset w:val="00"/>
    <w:family w:val="swiss"/>
    <w:pitch w:val="default"/>
    <w:sig w:usb0="00000000" w:usb1="00000000" w:usb2="00000009" w:usb3="00000000" w:csb0="000001FF" w:csb1="00000000"/>
  </w:font>
  <w:font w:name="Courier">
    <w:altName w:val="Courier New"/>
    <w:panose1 w:val="02070409020205020404"/>
    <w:charset w:val="00"/>
    <w:family w:val="modern"/>
    <w:pitch w:val="default"/>
    <w:sig w:usb0="00000000" w:usb1="00000000" w:usb2="00000000" w:usb3="00000000" w:csb0="00000001" w:csb1="00000000"/>
  </w:font>
  <w:font w:name="Tms Rmn">
    <w:altName w:val="Segoe Print"/>
    <w:panose1 w:val="02020603040505020304"/>
    <w:charset w:val="00"/>
    <w:family w:val="roman"/>
    <w:pitch w:val="default"/>
    <w:sig w:usb0="00000000" w:usb1="00000000" w:usb2="00000000" w:usb3="00000000" w:csb0="00000001" w:csb1="00000000"/>
  </w:font>
  <w:font w:name="Helv">
    <w:altName w:val="Segoe Print"/>
    <w:panose1 w:val="020B0604020202030204"/>
    <w:charset w:val="00"/>
    <w:family w:val="swiss"/>
    <w:pitch w:val="default"/>
    <w:sig w:usb0="00000000" w:usb1="00000000" w:usb2="00000000" w:usb3="00000000" w:csb0="00000001" w:csb1="00000000"/>
  </w:font>
  <w:font w:name="New York">
    <w:altName w:val="Times New Roman"/>
    <w:panose1 w:val="02040503060506020304"/>
    <w:charset w:val="00"/>
    <w:family w:val="roman"/>
    <w:pitch w:val="default"/>
    <w:sig w:usb0="00000000" w:usb1="00000000" w:usb2="00000000" w:usb3="00000000" w:csb0="00000001" w:csb1="00000000"/>
  </w:font>
  <w:font w:name="Arial Unicode MS">
    <w:altName w:val="宋体"/>
    <w:panose1 w:val="020B0604020202020204"/>
    <w:charset w:val="86"/>
    <w:family w:val="swiss"/>
    <w:pitch w:val="default"/>
    <w:sig w:usb0="00000000" w:usb1="00000000" w:usb2="0000003F" w:usb3="00000000" w:csb0="603F01FF" w:csb1="FFFF0000"/>
  </w:font>
  <w:font w:name="方正小标宋简体">
    <w:panose1 w:val="03000509000000000000"/>
    <w:charset w:val="86"/>
    <w:family w:val="auto"/>
    <w:pitch w:val="default"/>
    <w:sig w:usb0="00000001" w:usb1="080E0000" w:usb2="00000000" w:usb3="00000000" w:csb0="00040000" w:csb1="00000000"/>
    <w:embedRegular r:id="rId5" w:fontKey="{AFCBBFF1-4797-4CF3-A5A0-75815EE31DB0}"/>
  </w:font>
  <w:font w:name="仿宋">
    <w:panose1 w:val="02010609060101010101"/>
    <w:charset w:val="86"/>
    <w:family w:val="modern"/>
    <w:pitch w:val="default"/>
    <w:sig w:usb0="800002BF" w:usb1="38CF7CFA" w:usb2="00000016" w:usb3="00000000" w:csb0="00040001" w:csb1="00000000"/>
    <w:embedRegular r:id="rId6" w:fontKey="{BC74D923-0CDA-45D1-825B-B26A2C08DB44}"/>
  </w:font>
  <w:font w:name="楷体_GB2312">
    <w:panose1 w:val="02010609030101010101"/>
    <w:charset w:val="86"/>
    <w:family w:val="modern"/>
    <w:pitch w:val="default"/>
    <w:sig w:usb0="00000001" w:usb1="080E0000" w:usb2="00000000" w:usb3="00000000" w:csb0="00040000" w:csb1="00000000"/>
    <w:embedRegular r:id="rId7" w:fontKey="{FCC870E5-881D-4106-B0B3-A0D02EF1F445}"/>
  </w:font>
  <w:font w:name="楷体">
    <w:panose1 w:val="02010609060101010101"/>
    <w:charset w:val="86"/>
    <w:family w:val="modern"/>
    <w:pitch w:val="default"/>
    <w:sig w:usb0="800002BF" w:usb1="38CF7CFA" w:usb2="00000016" w:usb3="00000000" w:csb0="00040001" w:csb1="00000000"/>
    <w:embedRegular r:id="rId8" w:fontKey="{3B18F2B3-161A-48A2-85DB-C509F5535333}"/>
  </w:font>
  <w:font w:name="微软雅黑">
    <w:panose1 w:val="020B0503020204020204"/>
    <w:charset w:val="86"/>
    <w:family w:val="auto"/>
    <w:pitch w:val="default"/>
    <w:sig w:usb0="80000287" w:usb1="280F3C52" w:usb2="00000016" w:usb3="00000000" w:csb0="0004001F"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altName w:val="微软雅黑"/>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r>
      <mc:AlternateContent>
        <mc:Choice Requires="wps">
          <w:drawing>
            <wp:anchor distT="0" distB="0" distL="114300" distR="114300" simplePos="0" relativeHeight="251662336" behindDoc="0" locked="0" layoutInCell="1" allowOverlap="1">
              <wp:simplePos x="0" y="0"/>
              <wp:positionH relativeFrom="margin">
                <wp:posOffset>2600960</wp:posOffset>
              </wp:positionH>
              <wp:positionV relativeFrom="paragraph">
                <wp:posOffset>17780</wp:posOffset>
              </wp:positionV>
              <wp:extent cx="795655" cy="351790"/>
              <wp:effectExtent l="0" t="0" r="0" b="0"/>
              <wp:wrapNone/>
              <wp:docPr id="1" name="文本框 1"/>
              <wp:cNvGraphicFramePr/>
              <a:graphic xmlns:a="http://schemas.openxmlformats.org/drawingml/2006/main">
                <a:graphicData uri="http://schemas.microsoft.com/office/word/2010/wordprocessingShape">
                  <wps:wsp>
                    <wps:cNvSpPr txBox="1"/>
                    <wps:spPr>
                      <a:xfrm>
                        <a:off x="0" y="0"/>
                        <a:ext cx="795655" cy="3517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- 4 -</w:t>
                          </w:r>
                          <w:r>
                            <w:rPr>
                              <w:sz w:val="24"/>
                              <w:szCs w:val="24"/>
                            </w:rP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left:204.8pt;margin-top:1.4pt;height:27.7pt;width:62.65pt;mso-position-horizontal-relative:margin;z-index:251662336;mso-width-relative:page;mso-height-relative:page;" filled="f" stroked="f" coordsize="21600,21600" o:gfxdata="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Cl7rLtcAAAAIAQAADwAAAAAA&#10;AAABACAAAAAiAAAAZHJzL2Rvd25yZXYueG1sUEsBAhQAFAAAAAgAh07iQJ1LfXEUAgAABwQAAA4A&#10;AAAAAAAAAQAgAAAAJgEAAGRycy9lMm9Eb2MueG1sUEsFBgAAAAAGAAYAWQEAAKwFAAAAAA==&#10;">
              <v:fill on="f" focussize="0,0"/>
              <v:stroke on="f" weight="0.5pt"/>
              <v:imagedata o:title=""/>
              <o:lock v:ext="edit" aspectratio="f"/>
              <v:textbox inset="0mm,0mm,0mm,0mm">
                <w:txbxContent>
                  <w:p>
                    <w:pPr>
                      <w:pStyle w:val="13"/>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- 4 -</w:t>
                    </w:r>
                    <w:r>
                      <w:rPr>
                        <w:sz w:val="24"/>
                        <w:szCs w:val="24"/>
                      </w:rPr>
                      <w:fldChar w:fldCharType="end"/>
                    </w:r>
                  </w:p>
                </w:txbxContent>
              </v:textbox>
            </v:shape>
          </w:pict>
        </mc:Fallback>
      </mc:AlternateContent>
    </w:r>
  </w:p>
  <w:p>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795655" cy="351790"/>
              <wp:effectExtent l="0" t="0" r="0" b="0"/>
              <wp:wrapNone/>
              <wp:docPr id="5" name="文本框 5"/>
              <wp:cNvGraphicFramePr/>
              <a:graphic xmlns:a="http://schemas.openxmlformats.org/drawingml/2006/main">
                <a:graphicData uri="http://schemas.microsoft.com/office/word/2010/wordprocessingShape">
                  <wps:wsp>
                    <wps:cNvSpPr txBox="1"/>
                    <wps:spPr>
                      <a:xfrm>
                        <a:off x="0" y="0"/>
                        <a:ext cx="795655" cy="3517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- 58 -</w:t>
                          </w:r>
                          <w:r>
                            <w:rPr>
                              <w:sz w:val="24"/>
                              <w:szCs w:val="24"/>
                            </w:rP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top:0pt;height:27.7pt;width:62.65pt;mso-position-horizontal:center;mso-position-horizontal-relative:margin;z-index:251661312;mso-width-relative:page;mso-height-relative:page;" filled="f" stroked="f" coordsize="21600,21600" o:gfxdata="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IcOl2fUAAAABAEAAA8AAAAAAAAA&#10;AQAgAAAAIgAAAGRycy9kb3ducmV2LnhtbFBLAQIUABQAAAAIAIdO4kC+/6s9FQIAAAcEAAAOAAAA&#10;AAAAAAEAIAAAACMBAABkcnMvZTJvRG9jLnhtbFBLBQYAAAAABgAGAFkBAACqBQAAAAA=&#10;">
              <v:fill on="f" focussize="0,0"/>
              <v:stroke on="f" weight="0.5pt"/>
              <v:imagedata o:title=""/>
              <o:lock v:ext="edit" aspectratio="f"/>
              <v:textbox inset="0mm,0mm,0mm,0mm">
                <w:txbxContent>
                  <w:p>
                    <w:pPr>
                      <w:pStyle w:val="13"/>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- 58 -</w:t>
                    </w:r>
                    <w:r>
                      <w:rPr>
                        <w:sz w:val="24"/>
                        <w:szCs w:val="24"/>
                      </w:rPr>
                      <w:fldChar w:fldCharType="end"/>
                    </w:r>
                  </w:p>
                </w:txbxContent>
              </v:textbox>
            </v:shape>
          </w:pict>
        </mc:Fallback>
      </mc:AlternateContent>
    </w:r>
  </w:p>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left="6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DCF7D83"/>
    <w:multiLevelType w:val="singleLevel"/>
    <w:tmpl w:val="8DCF7D83"/>
    <w:lvl w:ilvl="0" w:tentative="0">
      <w:start w:val="2"/>
      <w:numFmt w:val="chineseCounting"/>
      <w:suff w:val="nothing"/>
      <w:lvlText w:val="（%1）"/>
      <w:lvlJc w:val="left"/>
      <w:rPr>
        <w:rFonts w:hint="eastAsia"/>
      </w:rPr>
    </w:lvl>
  </w:abstractNum>
  <w:abstractNum w:abstractNumId="1">
    <w:nsid w:val="AE845321"/>
    <w:multiLevelType w:val="singleLevel"/>
    <w:tmpl w:val="AE845321"/>
    <w:lvl w:ilvl="0" w:tentative="0">
      <w:start w:val="3"/>
      <w:numFmt w:val="chineseCounting"/>
      <w:suff w:val="nothing"/>
      <w:lvlText w:val="（%1）"/>
      <w:lvlJc w:val="left"/>
      <w:rPr>
        <w:rFonts w:hint="eastAsia"/>
      </w:rPr>
    </w:lvl>
  </w:abstractNum>
  <w:abstractNum w:abstractNumId="2">
    <w:nsid w:val="3265B7C3"/>
    <w:multiLevelType w:val="singleLevel"/>
    <w:tmpl w:val="3265B7C3"/>
    <w:lvl w:ilvl="0" w:tentative="0">
      <w:start w:val="1"/>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UyZTZiOWNhNTRkM2JiNDQwZWRmZDZjZTIwNDhiY2IifQ=="/>
  </w:docVars>
  <w:rsids>
    <w:rsidRoot w:val="00172A27"/>
    <w:rsid w:val="00000CBF"/>
    <w:rsid w:val="000034CD"/>
    <w:rsid w:val="00003B87"/>
    <w:rsid w:val="000106AF"/>
    <w:rsid w:val="00010F09"/>
    <w:rsid w:val="00010F57"/>
    <w:rsid w:val="00014729"/>
    <w:rsid w:val="000168E2"/>
    <w:rsid w:val="00016E30"/>
    <w:rsid w:val="0001778D"/>
    <w:rsid w:val="00023930"/>
    <w:rsid w:val="0002537D"/>
    <w:rsid w:val="000267C9"/>
    <w:rsid w:val="000316D6"/>
    <w:rsid w:val="00034C3D"/>
    <w:rsid w:val="00035935"/>
    <w:rsid w:val="00035BD9"/>
    <w:rsid w:val="00037650"/>
    <w:rsid w:val="000408B3"/>
    <w:rsid w:val="000409C6"/>
    <w:rsid w:val="00040A7B"/>
    <w:rsid w:val="0004437D"/>
    <w:rsid w:val="00044D5A"/>
    <w:rsid w:val="00047F92"/>
    <w:rsid w:val="000517C8"/>
    <w:rsid w:val="00052722"/>
    <w:rsid w:val="00052AB3"/>
    <w:rsid w:val="000530B5"/>
    <w:rsid w:val="000547DF"/>
    <w:rsid w:val="00056E21"/>
    <w:rsid w:val="00063642"/>
    <w:rsid w:val="00065474"/>
    <w:rsid w:val="00071596"/>
    <w:rsid w:val="00073EED"/>
    <w:rsid w:val="00080B1C"/>
    <w:rsid w:val="00082025"/>
    <w:rsid w:val="000843F5"/>
    <w:rsid w:val="00084B87"/>
    <w:rsid w:val="00084C61"/>
    <w:rsid w:val="00084EE5"/>
    <w:rsid w:val="00085C93"/>
    <w:rsid w:val="00087A5E"/>
    <w:rsid w:val="00090945"/>
    <w:rsid w:val="00094212"/>
    <w:rsid w:val="00094289"/>
    <w:rsid w:val="00094579"/>
    <w:rsid w:val="0009486F"/>
    <w:rsid w:val="00097AD5"/>
    <w:rsid w:val="00097E70"/>
    <w:rsid w:val="000A3463"/>
    <w:rsid w:val="000A3CBA"/>
    <w:rsid w:val="000B179A"/>
    <w:rsid w:val="000B19DD"/>
    <w:rsid w:val="000B271C"/>
    <w:rsid w:val="000B3090"/>
    <w:rsid w:val="000B395D"/>
    <w:rsid w:val="000B4C87"/>
    <w:rsid w:val="000B5E2F"/>
    <w:rsid w:val="000B75C9"/>
    <w:rsid w:val="000C2547"/>
    <w:rsid w:val="000C2657"/>
    <w:rsid w:val="000C3B4A"/>
    <w:rsid w:val="000C7570"/>
    <w:rsid w:val="000D1A18"/>
    <w:rsid w:val="000D4710"/>
    <w:rsid w:val="000E093A"/>
    <w:rsid w:val="000E597B"/>
    <w:rsid w:val="000E63BF"/>
    <w:rsid w:val="000F0BD4"/>
    <w:rsid w:val="000F344F"/>
    <w:rsid w:val="000F6C2D"/>
    <w:rsid w:val="000F7468"/>
    <w:rsid w:val="000F746A"/>
    <w:rsid w:val="00102140"/>
    <w:rsid w:val="00106E16"/>
    <w:rsid w:val="001114EC"/>
    <w:rsid w:val="00112A96"/>
    <w:rsid w:val="001133DF"/>
    <w:rsid w:val="00114F9E"/>
    <w:rsid w:val="001151B8"/>
    <w:rsid w:val="00122854"/>
    <w:rsid w:val="00122B22"/>
    <w:rsid w:val="00123EEA"/>
    <w:rsid w:val="00126508"/>
    <w:rsid w:val="001329DF"/>
    <w:rsid w:val="001342A7"/>
    <w:rsid w:val="00142E3E"/>
    <w:rsid w:val="001432CD"/>
    <w:rsid w:val="0014381D"/>
    <w:rsid w:val="0014464F"/>
    <w:rsid w:val="00152205"/>
    <w:rsid w:val="00153AFD"/>
    <w:rsid w:val="00155332"/>
    <w:rsid w:val="00155E13"/>
    <w:rsid w:val="00157214"/>
    <w:rsid w:val="001602D6"/>
    <w:rsid w:val="00163244"/>
    <w:rsid w:val="00163F67"/>
    <w:rsid w:val="00172A27"/>
    <w:rsid w:val="001735FD"/>
    <w:rsid w:val="001738CA"/>
    <w:rsid w:val="00175368"/>
    <w:rsid w:val="001802D6"/>
    <w:rsid w:val="00183BED"/>
    <w:rsid w:val="00191536"/>
    <w:rsid w:val="00193879"/>
    <w:rsid w:val="001940E1"/>
    <w:rsid w:val="00196BA0"/>
    <w:rsid w:val="0019719A"/>
    <w:rsid w:val="001A02B5"/>
    <w:rsid w:val="001A1BDF"/>
    <w:rsid w:val="001A2F89"/>
    <w:rsid w:val="001A3158"/>
    <w:rsid w:val="001A3CE2"/>
    <w:rsid w:val="001A5241"/>
    <w:rsid w:val="001B012D"/>
    <w:rsid w:val="001B0DDF"/>
    <w:rsid w:val="001B1449"/>
    <w:rsid w:val="001B3621"/>
    <w:rsid w:val="001B4457"/>
    <w:rsid w:val="001B5368"/>
    <w:rsid w:val="001B5886"/>
    <w:rsid w:val="001B5EC9"/>
    <w:rsid w:val="001B7FCD"/>
    <w:rsid w:val="001C0CDF"/>
    <w:rsid w:val="001C4010"/>
    <w:rsid w:val="001C6BF1"/>
    <w:rsid w:val="001D3C7E"/>
    <w:rsid w:val="001D6D0B"/>
    <w:rsid w:val="001D7958"/>
    <w:rsid w:val="001E0433"/>
    <w:rsid w:val="001E3429"/>
    <w:rsid w:val="001E68D8"/>
    <w:rsid w:val="001E76DB"/>
    <w:rsid w:val="001F4C1E"/>
    <w:rsid w:val="001F6B7A"/>
    <w:rsid w:val="00200204"/>
    <w:rsid w:val="002015D3"/>
    <w:rsid w:val="002039F1"/>
    <w:rsid w:val="002044DF"/>
    <w:rsid w:val="002049F7"/>
    <w:rsid w:val="0021312E"/>
    <w:rsid w:val="0021383F"/>
    <w:rsid w:val="00214BEE"/>
    <w:rsid w:val="0021585B"/>
    <w:rsid w:val="0021600A"/>
    <w:rsid w:val="0021726C"/>
    <w:rsid w:val="00217770"/>
    <w:rsid w:val="00220C2A"/>
    <w:rsid w:val="00221E65"/>
    <w:rsid w:val="002240B1"/>
    <w:rsid w:val="0022415F"/>
    <w:rsid w:val="00224835"/>
    <w:rsid w:val="00224F3D"/>
    <w:rsid w:val="00225C23"/>
    <w:rsid w:val="00233D9B"/>
    <w:rsid w:val="00236FA6"/>
    <w:rsid w:val="00240094"/>
    <w:rsid w:val="00241B6B"/>
    <w:rsid w:val="002431E6"/>
    <w:rsid w:val="0024416D"/>
    <w:rsid w:val="00244B90"/>
    <w:rsid w:val="00245FFD"/>
    <w:rsid w:val="0025052F"/>
    <w:rsid w:val="0025133B"/>
    <w:rsid w:val="002519F2"/>
    <w:rsid w:val="00251E52"/>
    <w:rsid w:val="00252024"/>
    <w:rsid w:val="00252295"/>
    <w:rsid w:val="002604EC"/>
    <w:rsid w:val="0026390E"/>
    <w:rsid w:val="00266811"/>
    <w:rsid w:val="002670EA"/>
    <w:rsid w:val="00270D49"/>
    <w:rsid w:val="002742F8"/>
    <w:rsid w:val="002748BD"/>
    <w:rsid w:val="00274A4D"/>
    <w:rsid w:val="00274E33"/>
    <w:rsid w:val="00286355"/>
    <w:rsid w:val="00286B1A"/>
    <w:rsid w:val="00287D92"/>
    <w:rsid w:val="00290958"/>
    <w:rsid w:val="00291FC4"/>
    <w:rsid w:val="002926AE"/>
    <w:rsid w:val="00293A42"/>
    <w:rsid w:val="00293F3B"/>
    <w:rsid w:val="00294D1F"/>
    <w:rsid w:val="002A25F0"/>
    <w:rsid w:val="002A38DC"/>
    <w:rsid w:val="002A3F94"/>
    <w:rsid w:val="002A4CC2"/>
    <w:rsid w:val="002B0E96"/>
    <w:rsid w:val="002B21CC"/>
    <w:rsid w:val="002B3658"/>
    <w:rsid w:val="002B37C5"/>
    <w:rsid w:val="002B7E88"/>
    <w:rsid w:val="002D028A"/>
    <w:rsid w:val="002D27EE"/>
    <w:rsid w:val="002D2D64"/>
    <w:rsid w:val="002D3180"/>
    <w:rsid w:val="002D4EA7"/>
    <w:rsid w:val="002D6124"/>
    <w:rsid w:val="002D6167"/>
    <w:rsid w:val="002D70B8"/>
    <w:rsid w:val="002D7791"/>
    <w:rsid w:val="002D7AEB"/>
    <w:rsid w:val="002D7FE5"/>
    <w:rsid w:val="002F0AEA"/>
    <w:rsid w:val="002F0CEB"/>
    <w:rsid w:val="002F1022"/>
    <w:rsid w:val="002F2712"/>
    <w:rsid w:val="002F73C2"/>
    <w:rsid w:val="002F7AA1"/>
    <w:rsid w:val="0030209D"/>
    <w:rsid w:val="00304A27"/>
    <w:rsid w:val="0030703E"/>
    <w:rsid w:val="00307477"/>
    <w:rsid w:val="003115CC"/>
    <w:rsid w:val="00313750"/>
    <w:rsid w:val="00316EA0"/>
    <w:rsid w:val="00321A3C"/>
    <w:rsid w:val="0033160F"/>
    <w:rsid w:val="00331DB0"/>
    <w:rsid w:val="003337F4"/>
    <w:rsid w:val="00335EEB"/>
    <w:rsid w:val="00337D32"/>
    <w:rsid w:val="003406D1"/>
    <w:rsid w:val="0034673B"/>
    <w:rsid w:val="00351751"/>
    <w:rsid w:val="00351CBC"/>
    <w:rsid w:val="00352172"/>
    <w:rsid w:val="00355342"/>
    <w:rsid w:val="00356692"/>
    <w:rsid w:val="00356F2E"/>
    <w:rsid w:val="003575C9"/>
    <w:rsid w:val="0036025D"/>
    <w:rsid w:val="00361339"/>
    <w:rsid w:val="003617B4"/>
    <w:rsid w:val="003631E0"/>
    <w:rsid w:val="003655C7"/>
    <w:rsid w:val="003666F6"/>
    <w:rsid w:val="00367F5C"/>
    <w:rsid w:val="00367FEB"/>
    <w:rsid w:val="00370C21"/>
    <w:rsid w:val="0037119D"/>
    <w:rsid w:val="00371460"/>
    <w:rsid w:val="00371E38"/>
    <w:rsid w:val="00374C99"/>
    <w:rsid w:val="00374EC2"/>
    <w:rsid w:val="00375717"/>
    <w:rsid w:val="00377F83"/>
    <w:rsid w:val="00385C9F"/>
    <w:rsid w:val="00385D9C"/>
    <w:rsid w:val="00386A78"/>
    <w:rsid w:val="00387B4F"/>
    <w:rsid w:val="00387FDC"/>
    <w:rsid w:val="003900E4"/>
    <w:rsid w:val="003908AD"/>
    <w:rsid w:val="003944BB"/>
    <w:rsid w:val="003945B5"/>
    <w:rsid w:val="00394D62"/>
    <w:rsid w:val="00395D0B"/>
    <w:rsid w:val="00397362"/>
    <w:rsid w:val="003A003A"/>
    <w:rsid w:val="003A1185"/>
    <w:rsid w:val="003A3E3C"/>
    <w:rsid w:val="003A3F4A"/>
    <w:rsid w:val="003A4972"/>
    <w:rsid w:val="003B4A14"/>
    <w:rsid w:val="003B5570"/>
    <w:rsid w:val="003B77B6"/>
    <w:rsid w:val="003C31AB"/>
    <w:rsid w:val="003C35CD"/>
    <w:rsid w:val="003C43EA"/>
    <w:rsid w:val="003C4F65"/>
    <w:rsid w:val="003C53D2"/>
    <w:rsid w:val="003C7866"/>
    <w:rsid w:val="003D0971"/>
    <w:rsid w:val="003D3C90"/>
    <w:rsid w:val="003D5CBF"/>
    <w:rsid w:val="003E02C3"/>
    <w:rsid w:val="003E18C9"/>
    <w:rsid w:val="003F567D"/>
    <w:rsid w:val="003F7782"/>
    <w:rsid w:val="00400588"/>
    <w:rsid w:val="00406AC9"/>
    <w:rsid w:val="0041073B"/>
    <w:rsid w:val="0041167C"/>
    <w:rsid w:val="004138A8"/>
    <w:rsid w:val="0041426C"/>
    <w:rsid w:val="00416FDF"/>
    <w:rsid w:val="00417B37"/>
    <w:rsid w:val="0042054B"/>
    <w:rsid w:val="00420D95"/>
    <w:rsid w:val="004253B8"/>
    <w:rsid w:val="00425ED7"/>
    <w:rsid w:val="00426740"/>
    <w:rsid w:val="00427C2F"/>
    <w:rsid w:val="0043128C"/>
    <w:rsid w:val="00434D44"/>
    <w:rsid w:val="0044228B"/>
    <w:rsid w:val="00442688"/>
    <w:rsid w:val="00442AED"/>
    <w:rsid w:val="00442D5D"/>
    <w:rsid w:val="00444B82"/>
    <w:rsid w:val="004459F0"/>
    <w:rsid w:val="00454633"/>
    <w:rsid w:val="00454737"/>
    <w:rsid w:val="00455BF8"/>
    <w:rsid w:val="00456DB3"/>
    <w:rsid w:val="00456EAD"/>
    <w:rsid w:val="004604FE"/>
    <w:rsid w:val="004611A8"/>
    <w:rsid w:val="00467117"/>
    <w:rsid w:val="00467D70"/>
    <w:rsid w:val="00467DC5"/>
    <w:rsid w:val="004702DB"/>
    <w:rsid w:val="00470C8E"/>
    <w:rsid w:val="00473D33"/>
    <w:rsid w:val="004769DB"/>
    <w:rsid w:val="00481EB5"/>
    <w:rsid w:val="00482B89"/>
    <w:rsid w:val="004833E7"/>
    <w:rsid w:val="00483401"/>
    <w:rsid w:val="00491B17"/>
    <w:rsid w:val="004931F8"/>
    <w:rsid w:val="00494023"/>
    <w:rsid w:val="004967F7"/>
    <w:rsid w:val="00497241"/>
    <w:rsid w:val="004A1F81"/>
    <w:rsid w:val="004A20B6"/>
    <w:rsid w:val="004A2789"/>
    <w:rsid w:val="004A2DF3"/>
    <w:rsid w:val="004A2FCA"/>
    <w:rsid w:val="004A3875"/>
    <w:rsid w:val="004A7AF4"/>
    <w:rsid w:val="004B048E"/>
    <w:rsid w:val="004B143B"/>
    <w:rsid w:val="004B174D"/>
    <w:rsid w:val="004B5933"/>
    <w:rsid w:val="004C500C"/>
    <w:rsid w:val="004C5FFC"/>
    <w:rsid w:val="004C74F7"/>
    <w:rsid w:val="004D1253"/>
    <w:rsid w:val="004D158E"/>
    <w:rsid w:val="004D2861"/>
    <w:rsid w:val="004D5666"/>
    <w:rsid w:val="004D6BB1"/>
    <w:rsid w:val="004D7A03"/>
    <w:rsid w:val="004D7DBF"/>
    <w:rsid w:val="004E0454"/>
    <w:rsid w:val="004E06ED"/>
    <w:rsid w:val="004E1457"/>
    <w:rsid w:val="004E4A43"/>
    <w:rsid w:val="004E4BBF"/>
    <w:rsid w:val="004F2CDD"/>
    <w:rsid w:val="004F4D87"/>
    <w:rsid w:val="004F55CD"/>
    <w:rsid w:val="004F58A0"/>
    <w:rsid w:val="004F5F12"/>
    <w:rsid w:val="004F6692"/>
    <w:rsid w:val="004F77B0"/>
    <w:rsid w:val="00501EEF"/>
    <w:rsid w:val="00502A31"/>
    <w:rsid w:val="00505021"/>
    <w:rsid w:val="00506790"/>
    <w:rsid w:val="00510EFF"/>
    <w:rsid w:val="00511717"/>
    <w:rsid w:val="00511B53"/>
    <w:rsid w:val="005146EE"/>
    <w:rsid w:val="005160E3"/>
    <w:rsid w:val="005161E3"/>
    <w:rsid w:val="00516B40"/>
    <w:rsid w:val="005203F0"/>
    <w:rsid w:val="00521E09"/>
    <w:rsid w:val="00525EB0"/>
    <w:rsid w:val="00535551"/>
    <w:rsid w:val="0053664B"/>
    <w:rsid w:val="00540718"/>
    <w:rsid w:val="00540B71"/>
    <w:rsid w:val="00541F46"/>
    <w:rsid w:val="0054292B"/>
    <w:rsid w:val="005440BF"/>
    <w:rsid w:val="0054661A"/>
    <w:rsid w:val="005510D1"/>
    <w:rsid w:val="00552574"/>
    <w:rsid w:val="00554DCA"/>
    <w:rsid w:val="00556C59"/>
    <w:rsid w:val="00557E0E"/>
    <w:rsid w:val="005604D0"/>
    <w:rsid w:val="005614CC"/>
    <w:rsid w:val="005615F3"/>
    <w:rsid w:val="0056225D"/>
    <w:rsid w:val="00562E92"/>
    <w:rsid w:val="005639FA"/>
    <w:rsid w:val="0056420B"/>
    <w:rsid w:val="00564ABA"/>
    <w:rsid w:val="005653F5"/>
    <w:rsid w:val="00571BB6"/>
    <w:rsid w:val="00572A14"/>
    <w:rsid w:val="0057572A"/>
    <w:rsid w:val="00576A02"/>
    <w:rsid w:val="0058236D"/>
    <w:rsid w:val="00582BA2"/>
    <w:rsid w:val="00583D19"/>
    <w:rsid w:val="0058789A"/>
    <w:rsid w:val="00593F60"/>
    <w:rsid w:val="00594E72"/>
    <w:rsid w:val="00594E89"/>
    <w:rsid w:val="00595732"/>
    <w:rsid w:val="005957A8"/>
    <w:rsid w:val="005A0020"/>
    <w:rsid w:val="005A0592"/>
    <w:rsid w:val="005A09E0"/>
    <w:rsid w:val="005A1BC7"/>
    <w:rsid w:val="005A7383"/>
    <w:rsid w:val="005B155E"/>
    <w:rsid w:val="005B1651"/>
    <w:rsid w:val="005B1D05"/>
    <w:rsid w:val="005B544A"/>
    <w:rsid w:val="005B570B"/>
    <w:rsid w:val="005B5DBA"/>
    <w:rsid w:val="005B5ECD"/>
    <w:rsid w:val="005C5D3B"/>
    <w:rsid w:val="005C773C"/>
    <w:rsid w:val="005D2118"/>
    <w:rsid w:val="005D476C"/>
    <w:rsid w:val="005D5AEF"/>
    <w:rsid w:val="005E031D"/>
    <w:rsid w:val="005E2226"/>
    <w:rsid w:val="005F007E"/>
    <w:rsid w:val="005F22D5"/>
    <w:rsid w:val="005F2659"/>
    <w:rsid w:val="005F3198"/>
    <w:rsid w:val="005F5238"/>
    <w:rsid w:val="005F5B86"/>
    <w:rsid w:val="00603A8C"/>
    <w:rsid w:val="00607135"/>
    <w:rsid w:val="00610D76"/>
    <w:rsid w:val="0061425B"/>
    <w:rsid w:val="00615CCA"/>
    <w:rsid w:val="00616504"/>
    <w:rsid w:val="00616551"/>
    <w:rsid w:val="00617C3C"/>
    <w:rsid w:val="00623384"/>
    <w:rsid w:val="006236AD"/>
    <w:rsid w:val="0063195F"/>
    <w:rsid w:val="00632944"/>
    <w:rsid w:val="006355A9"/>
    <w:rsid w:val="00637A4F"/>
    <w:rsid w:val="00641CD5"/>
    <w:rsid w:val="00642BB6"/>
    <w:rsid w:val="00644031"/>
    <w:rsid w:val="00644FBC"/>
    <w:rsid w:val="00647134"/>
    <w:rsid w:val="00652DB9"/>
    <w:rsid w:val="0065703E"/>
    <w:rsid w:val="006575E7"/>
    <w:rsid w:val="00657673"/>
    <w:rsid w:val="00661E32"/>
    <w:rsid w:val="00662CCA"/>
    <w:rsid w:val="00662EC6"/>
    <w:rsid w:val="00662F26"/>
    <w:rsid w:val="00665B56"/>
    <w:rsid w:val="006720DF"/>
    <w:rsid w:val="00672743"/>
    <w:rsid w:val="00681E9C"/>
    <w:rsid w:val="00682B2E"/>
    <w:rsid w:val="00683341"/>
    <w:rsid w:val="006853C1"/>
    <w:rsid w:val="0068695A"/>
    <w:rsid w:val="00686C54"/>
    <w:rsid w:val="00687D34"/>
    <w:rsid w:val="00691B56"/>
    <w:rsid w:val="00691CC7"/>
    <w:rsid w:val="00691D88"/>
    <w:rsid w:val="00691EC8"/>
    <w:rsid w:val="00693C36"/>
    <w:rsid w:val="0069508B"/>
    <w:rsid w:val="00695904"/>
    <w:rsid w:val="006966EC"/>
    <w:rsid w:val="0069730F"/>
    <w:rsid w:val="00697930"/>
    <w:rsid w:val="006A0A1B"/>
    <w:rsid w:val="006A1B40"/>
    <w:rsid w:val="006A29F4"/>
    <w:rsid w:val="006A33FD"/>
    <w:rsid w:val="006A4D49"/>
    <w:rsid w:val="006A5098"/>
    <w:rsid w:val="006A623D"/>
    <w:rsid w:val="006B1149"/>
    <w:rsid w:val="006B1F4E"/>
    <w:rsid w:val="006B35D8"/>
    <w:rsid w:val="006B5EC7"/>
    <w:rsid w:val="006B6C41"/>
    <w:rsid w:val="006C0F17"/>
    <w:rsid w:val="006C3341"/>
    <w:rsid w:val="006C3359"/>
    <w:rsid w:val="006C4A23"/>
    <w:rsid w:val="006C5697"/>
    <w:rsid w:val="006C6FF2"/>
    <w:rsid w:val="006C79FA"/>
    <w:rsid w:val="006C7ECE"/>
    <w:rsid w:val="006D10E1"/>
    <w:rsid w:val="006D3BB4"/>
    <w:rsid w:val="006D4EAB"/>
    <w:rsid w:val="006F04BC"/>
    <w:rsid w:val="006F520F"/>
    <w:rsid w:val="00700A16"/>
    <w:rsid w:val="00701E0C"/>
    <w:rsid w:val="0070236E"/>
    <w:rsid w:val="00702E1F"/>
    <w:rsid w:val="00705D96"/>
    <w:rsid w:val="00706BD6"/>
    <w:rsid w:val="00710B15"/>
    <w:rsid w:val="00710DBC"/>
    <w:rsid w:val="00710F2F"/>
    <w:rsid w:val="00711981"/>
    <w:rsid w:val="00712513"/>
    <w:rsid w:val="00714FCB"/>
    <w:rsid w:val="00716714"/>
    <w:rsid w:val="00717855"/>
    <w:rsid w:val="007208BC"/>
    <w:rsid w:val="007223AD"/>
    <w:rsid w:val="0072313B"/>
    <w:rsid w:val="0073016A"/>
    <w:rsid w:val="007319CE"/>
    <w:rsid w:val="0073502E"/>
    <w:rsid w:val="00735453"/>
    <w:rsid w:val="0074153A"/>
    <w:rsid w:val="00741A58"/>
    <w:rsid w:val="007438FA"/>
    <w:rsid w:val="007444F9"/>
    <w:rsid w:val="00745662"/>
    <w:rsid w:val="00746BB0"/>
    <w:rsid w:val="007500F5"/>
    <w:rsid w:val="00751B12"/>
    <w:rsid w:val="007525B4"/>
    <w:rsid w:val="0075361E"/>
    <w:rsid w:val="00755B39"/>
    <w:rsid w:val="00756505"/>
    <w:rsid w:val="007602DD"/>
    <w:rsid w:val="00760CD7"/>
    <w:rsid w:val="0076688E"/>
    <w:rsid w:val="007720CC"/>
    <w:rsid w:val="0077226B"/>
    <w:rsid w:val="00773DB6"/>
    <w:rsid w:val="0077514A"/>
    <w:rsid w:val="00781279"/>
    <w:rsid w:val="00783AFE"/>
    <w:rsid w:val="007904FF"/>
    <w:rsid w:val="007925EB"/>
    <w:rsid w:val="00796798"/>
    <w:rsid w:val="00797B28"/>
    <w:rsid w:val="007A038A"/>
    <w:rsid w:val="007A1E1B"/>
    <w:rsid w:val="007A23C5"/>
    <w:rsid w:val="007A3D48"/>
    <w:rsid w:val="007A5961"/>
    <w:rsid w:val="007A62AF"/>
    <w:rsid w:val="007A6303"/>
    <w:rsid w:val="007A73B9"/>
    <w:rsid w:val="007B0811"/>
    <w:rsid w:val="007B12CC"/>
    <w:rsid w:val="007B31EB"/>
    <w:rsid w:val="007B425E"/>
    <w:rsid w:val="007C1D53"/>
    <w:rsid w:val="007C22F2"/>
    <w:rsid w:val="007C4FA1"/>
    <w:rsid w:val="007D2F2B"/>
    <w:rsid w:val="007D48A4"/>
    <w:rsid w:val="007D719A"/>
    <w:rsid w:val="007E11AF"/>
    <w:rsid w:val="007E36AC"/>
    <w:rsid w:val="007E4B97"/>
    <w:rsid w:val="007E5353"/>
    <w:rsid w:val="007E55B7"/>
    <w:rsid w:val="007E6392"/>
    <w:rsid w:val="007F42D9"/>
    <w:rsid w:val="007F5799"/>
    <w:rsid w:val="007F5BF8"/>
    <w:rsid w:val="007F7B66"/>
    <w:rsid w:val="00801DE2"/>
    <w:rsid w:val="00802AAD"/>
    <w:rsid w:val="008038C9"/>
    <w:rsid w:val="0080646E"/>
    <w:rsid w:val="00806C2A"/>
    <w:rsid w:val="008077DA"/>
    <w:rsid w:val="008153A1"/>
    <w:rsid w:val="00825BFE"/>
    <w:rsid w:val="00825C8F"/>
    <w:rsid w:val="00826B5E"/>
    <w:rsid w:val="00831380"/>
    <w:rsid w:val="00831843"/>
    <w:rsid w:val="00832D6F"/>
    <w:rsid w:val="008330BB"/>
    <w:rsid w:val="00833CAD"/>
    <w:rsid w:val="008406FC"/>
    <w:rsid w:val="00840AA3"/>
    <w:rsid w:val="008410E6"/>
    <w:rsid w:val="00841318"/>
    <w:rsid w:val="00841E77"/>
    <w:rsid w:val="008421E5"/>
    <w:rsid w:val="00845E45"/>
    <w:rsid w:val="008512E3"/>
    <w:rsid w:val="00851C1E"/>
    <w:rsid w:val="00853166"/>
    <w:rsid w:val="008545A3"/>
    <w:rsid w:val="00856CD9"/>
    <w:rsid w:val="00862F0E"/>
    <w:rsid w:val="00863E6B"/>
    <w:rsid w:val="008655F8"/>
    <w:rsid w:val="00867DAD"/>
    <w:rsid w:val="00867EAE"/>
    <w:rsid w:val="00870A99"/>
    <w:rsid w:val="00871458"/>
    <w:rsid w:val="00872CB6"/>
    <w:rsid w:val="00874F21"/>
    <w:rsid w:val="00882D02"/>
    <w:rsid w:val="00883213"/>
    <w:rsid w:val="00884A1B"/>
    <w:rsid w:val="008923A4"/>
    <w:rsid w:val="008927E0"/>
    <w:rsid w:val="00893556"/>
    <w:rsid w:val="00893B88"/>
    <w:rsid w:val="008953C4"/>
    <w:rsid w:val="008A02F3"/>
    <w:rsid w:val="008A4193"/>
    <w:rsid w:val="008A4440"/>
    <w:rsid w:val="008A58B3"/>
    <w:rsid w:val="008B024E"/>
    <w:rsid w:val="008B14E4"/>
    <w:rsid w:val="008B2C45"/>
    <w:rsid w:val="008B4190"/>
    <w:rsid w:val="008C0361"/>
    <w:rsid w:val="008C2670"/>
    <w:rsid w:val="008C6831"/>
    <w:rsid w:val="008C736D"/>
    <w:rsid w:val="008D30DD"/>
    <w:rsid w:val="008D35B6"/>
    <w:rsid w:val="008D5D5A"/>
    <w:rsid w:val="008D63C9"/>
    <w:rsid w:val="008D77B0"/>
    <w:rsid w:val="008E06A1"/>
    <w:rsid w:val="008E1673"/>
    <w:rsid w:val="008E6D68"/>
    <w:rsid w:val="008F4555"/>
    <w:rsid w:val="00900431"/>
    <w:rsid w:val="00902193"/>
    <w:rsid w:val="0090328C"/>
    <w:rsid w:val="00910123"/>
    <w:rsid w:val="00912961"/>
    <w:rsid w:val="00913386"/>
    <w:rsid w:val="00913F71"/>
    <w:rsid w:val="00914563"/>
    <w:rsid w:val="00916D35"/>
    <w:rsid w:val="00921822"/>
    <w:rsid w:val="00921960"/>
    <w:rsid w:val="0092196F"/>
    <w:rsid w:val="00923F6C"/>
    <w:rsid w:val="00925D28"/>
    <w:rsid w:val="00927B48"/>
    <w:rsid w:val="00931166"/>
    <w:rsid w:val="0093340A"/>
    <w:rsid w:val="00933955"/>
    <w:rsid w:val="00935A11"/>
    <w:rsid w:val="00936518"/>
    <w:rsid w:val="00937032"/>
    <w:rsid w:val="00937C98"/>
    <w:rsid w:val="0094258F"/>
    <w:rsid w:val="0094661D"/>
    <w:rsid w:val="0095122D"/>
    <w:rsid w:val="00952194"/>
    <w:rsid w:val="00955087"/>
    <w:rsid w:val="0095730F"/>
    <w:rsid w:val="0096060D"/>
    <w:rsid w:val="00961C95"/>
    <w:rsid w:val="00962A5F"/>
    <w:rsid w:val="00963B0B"/>
    <w:rsid w:val="0096467C"/>
    <w:rsid w:val="00965969"/>
    <w:rsid w:val="00965DB7"/>
    <w:rsid w:val="009667C2"/>
    <w:rsid w:val="00967F39"/>
    <w:rsid w:val="00970038"/>
    <w:rsid w:val="00971D84"/>
    <w:rsid w:val="0097237D"/>
    <w:rsid w:val="009740A2"/>
    <w:rsid w:val="00976F17"/>
    <w:rsid w:val="00981972"/>
    <w:rsid w:val="0098245F"/>
    <w:rsid w:val="009855CA"/>
    <w:rsid w:val="00990F07"/>
    <w:rsid w:val="009932D0"/>
    <w:rsid w:val="00996DA3"/>
    <w:rsid w:val="009B0A61"/>
    <w:rsid w:val="009B109A"/>
    <w:rsid w:val="009B4531"/>
    <w:rsid w:val="009B5F75"/>
    <w:rsid w:val="009B6519"/>
    <w:rsid w:val="009B6C65"/>
    <w:rsid w:val="009B7836"/>
    <w:rsid w:val="009C164A"/>
    <w:rsid w:val="009D0A18"/>
    <w:rsid w:val="009D17E4"/>
    <w:rsid w:val="009D5A93"/>
    <w:rsid w:val="009D5BA5"/>
    <w:rsid w:val="009D64E2"/>
    <w:rsid w:val="009D6BF5"/>
    <w:rsid w:val="009E0276"/>
    <w:rsid w:val="009E25B6"/>
    <w:rsid w:val="009E2A29"/>
    <w:rsid w:val="009E5F33"/>
    <w:rsid w:val="009E6791"/>
    <w:rsid w:val="009E7510"/>
    <w:rsid w:val="009F02C1"/>
    <w:rsid w:val="009F0BD2"/>
    <w:rsid w:val="009F1452"/>
    <w:rsid w:val="009F1BF8"/>
    <w:rsid w:val="009F1C9C"/>
    <w:rsid w:val="009F250C"/>
    <w:rsid w:val="009F275E"/>
    <w:rsid w:val="009F434C"/>
    <w:rsid w:val="009F7D34"/>
    <w:rsid w:val="00A00E7B"/>
    <w:rsid w:val="00A02520"/>
    <w:rsid w:val="00A02BAA"/>
    <w:rsid w:val="00A107BD"/>
    <w:rsid w:val="00A10D56"/>
    <w:rsid w:val="00A1218E"/>
    <w:rsid w:val="00A12C39"/>
    <w:rsid w:val="00A13A13"/>
    <w:rsid w:val="00A15326"/>
    <w:rsid w:val="00A16CEC"/>
    <w:rsid w:val="00A26C91"/>
    <w:rsid w:val="00A26E9C"/>
    <w:rsid w:val="00A318E2"/>
    <w:rsid w:val="00A33F58"/>
    <w:rsid w:val="00A36055"/>
    <w:rsid w:val="00A40BC8"/>
    <w:rsid w:val="00A4369D"/>
    <w:rsid w:val="00A43B19"/>
    <w:rsid w:val="00A4472E"/>
    <w:rsid w:val="00A46D31"/>
    <w:rsid w:val="00A47EA4"/>
    <w:rsid w:val="00A503E5"/>
    <w:rsid w:val="00A509FD"/>
    <w:rsid w:val="00A53F03"/>
    <w:rsid w:val="00A53FF0"/>
    <w:rsid w:val="00A54456"/>
    <w:rsid w:val="00A5471E"/>
    <w:rsid w:val="00A551D7"/>
    <w:rsid w:val="00A55B27"/>
    <w:rsid w:val="00A55BDA"/>
    <w:rsid w:val="00A60C43"/>
    <w:rsid w:val="00A64596"/>
    <w:rsid w:val="00A67BE2"/>
    <w:rsid w:val="00A74820"/>
    <w:rsid w:val="00A76E41"/>
    <w:rsid w:val="00A776BC"/>
    <w:rsid w:val="00A8105F"/>
    <w:rsid w:val="00A81465"/>
    <w:rsid w:val="00A833A7"/>
    <w:rsid w:val="00A86AB0"/>
    <w:rsid w:val="00A87262"/>
    <w:rsid w:val="00A90F79"/>
    <w:rsid w:val="00A93929"/>
    <w:rsid w:val="00A9509B"/>
    <w:rsid w:val="00A963E4"/>
    <w:rsid w:val="00A97C90"/>
    <w:rsid w:val="00AA15A6"/>
    <w:rsid w:val="00AA182F"/>
    <w:rsid w:val="00AA3F58"/>
    <w:rsid w:val="00AA4870"/>
    <w:rsid w:val="00AA6B5D"/>
    <w:rsid w:val="00AB1D83"/>
    <w:rsid w:val="00AB5668"/>
    <w:rsid w:val="00AB587E"/>
    <w:rsid w:val="00AB6697"/>
    <w:rsid w:val="00AC0CA3"/>
    <w:rsid w:val="00AC24D8"/>
    <w:rsid w:val="00AC2F0E"/>
    <w:rsid w:val="00AC6B22"/>
    <w:rsid w:val="00AD13AD"/>
    <w:rsid w:val="00AE08D3"/>
    <w:rsid w:val="00AE225B"/>
    <w:rsid w:val="00AE46A4"/>
    <w:rsid w:val="00AE535D"/>
    <w:rsid w:val="00AE69CE"/>
    <w:rsid w:val="00AF08E9"/>
    <w:rsid w:val="00AF0B26"/>
    <w:rsid w:val="00AF2165"/>
    <w:rsid w:val="00AF6826"/>
    <w:rsid w:val="00B00877"/>
    <w:rsid w:val="00B02697"/>
    <w:rsid w:val="00B0719C"/>
    <w:rsid w:val="00B14CC8"/>
    <w:rsid w:val="00B17240"/>
    <w:rsid w:val="00B234C1"/>
    <w:rsid w:val="00B248CE"/>
    <w:rsid w:val="00B24E37"/>
    <w:rsid w:val="00B25020"/>
    <w:rsid w:val="00B256C8"/>
    <w:rsid w:val="00B256F6"/>
    <w:rsid w:val="00B272EE"/>
    <w:rsid w:val="00B302A1"/>
    <w:rsid w:val="00B31FCC"/>
    <w:rsid w:val="00B3557A"/>
    <w:rsid w:val="00B3740D"/>
    <w:rsid w:val="00B3776F"/>
    <w:rsid w:val="00B418AB"/>
    <w:rsid w:val="00B41ACE"/>
    <w:rsid w:val="00B4291F"/>
    <w:rsid w:val="00B42B7C"/>
    <w:rsid w:val="00B42F55"/>
    <w:rsid w:val="00B46CA3"/>
    <w:rsid w:val="00B5591E"/>
    <w:rsid w:val="00B565C7"/>
    <w:rsid w:val="00B56F47"/>
    <w:rsid w:val="00B608C5"/>
    <w:rsid w:val="00B61CEF"/>
    <w:rsid w:val="00B657D7"/>
    <w:rsid w:val="00B659E9"/>
    <w:rsid w:val="00B677D1"/>
    <w:rsid w:val="00B7130A"/>
    <w:rsid w:val="00B71CA8"/>
    <w:rsid w:val="00B753C1"/>
    <w:rsid w:val="00B82CCF"/>
    <w:rsid w:val="00B83052"/>
    <w:rsid w:val="00B8677C"/>
    <w:rsid w:val="00B90FC3"/>
    <w:rsid w:val="00B92387"/>
    <w:rsid w:val="00B9395A"/>
    <w:rsid w:val="00B93A38"/>
    <w:rsid w:val="00B95280"/>
    <w:rsid w:val="00B9638C"/>
    <w:rsid w:val="00BA5133"/>
    <w:rsid w:val="00BA5885"/>
    <w:rsid w:val="00BA59F6"/>
    <w:rsid w:val="00BA6774"/>
    <w:rsid w:val="00BB0763"/>
    <w:rsid w:val="00BB0E01"/>
    <w:rsid w:val="00BB1CB2"/>
    <w:rsid w:val="00BB21F1"/>
    <w:rsid w:val="00BB4264"/>
    <w:rsid w:val="00BB4B2D"/>
    <w:rsid w:val="00BB6099"/>
    <w:rsid w:val="00BB6BDE"/>
    <w:rsid w:val="00BB702A"/>
    <w:rsid w:val="00BC0FBE"/>
    <w:rsid w:val="00BC1D98"/>
    <w:rsid w:val="00BC3F50"/>
    <w:rsid w:val="00BD324F"/>
    <w:rsid w:val="00BD3603"/>
    <w:rsid w:val="00BD702A"/>
    <w:rsid w:val="00BE0161"/>
    <w:rsid w:val="00BE1766"/>
    <w:rsid w:val="00BE3275"/>
    <w:rsid w:val="00BE36C6"/>
    <w:rsid w:val="00BE5F84"/>
    <w:rsid w:val="00BF0DFB"/>
    <w:rsid w:val="00BF14CF"/>
    <w:rsid w:val="00BF48F2"/>
    <w:rsid w:val="00BF648F"/>
    <w:rsid w:val="00C00A12"/>
    <w:rsid w:val="00C01354"/>
    <w:rsid w:val="00C02E08"/>
    <w:rsid w:val="00C04FEC"/>
    <w:rsid w:val="00C05052"/>
    <w:rsid w:val="00C0544C"/>
    <w:rsid w:val="00C064AA"/>
    <w:rsid w:val="00C10643"/>
    <w:rsid w:val="00C15609"/>
    <w:rsid w:val="00C16EAB"/>
    <w:rsid w:val="00C23757"/>
    <w:rsid w:val="00C2432E"/>
    <w:rsid w:val="00C25332"/>
    <w:rsid w:val="00C25933"/>
    <w:rsid w:val="00C27C2B"/>
    <w:rsid w:val="00C32F04"/>
    <w:rsid w:val="00C3318C"/>
    <w:rsid w:val="00C34F6D"/>
    <w:rsid w:val="00C3720A"/>
    <w:rsid w:val="00C41DCA"/>
    <w:rsid w:val="00C45720"/>
    <w:rsid w:val="00C51934"/>
    <w:rsid w:val="00C549B2"/>
    <w:rsid w:val="00C55715"/>
    <w:rsid w:val="00C56FA8"/>
    <w:rsid w:val="00C61C00"/>
    <w:rsid w:val="00C62802"/>
    <w:rsid w:val="00C6346F"/>
    <w:rsid w:val="00C73DB2"/>
    <w:rsid w:val="00C75067"/>
    <w:rsid w:val="00C802CF"/>
    <w:rsid w:val="00C830BD"/>
    <w:rsid w:val="00C84E19"/>
    <w:rsid w:val="00C85194"/>
    <w:rsid w:val="00C95F53"/>
    <w:rsid w:val="00C97F3E"/>
    <w:rsid w:val="00CA00FB"/>
    <w:rsid w:val="00CA0715"/>
    <w:rsid w:val="00CA11BC"/>
    <w:rsid w:val="00CA1CD2"/>
    <w:rsid w:val="00CA39D0"/>
    <w:rsid w:val="00CA48E6"/>
    <w:rsid w:val="00CA4E7E"/>
    <w:rsid w:val="00CA67C6"/>
    <w:rsid w:val="00CB14B8"/>
    <w:rsid w:val="00CB262F"/>
    <w:rsid w:val="00CB39DC"/>
    <w:rsid w:val="00CB4939"/>
    <w:rsid w:val="00CB5977"/>
    <w:rsid w:val="00CB5E07"/>
    <w:rsid w:val="00CB5FDB"/>
    <w:rsid w:val="00CC36CA"/>
    <w:rsid w:val="00CC6EF3"/>
    <w:rsid w:val="00CC7A2E"/>
    <w:rsid w:val="00CC7AEB"/>
    <w:rsid w:val="00CD27CB"/>
    <w:rsid w:val="00CD478B"/>
    <w:rsid w:val="00CD6BE5"/>
    <w:rsid w:val="00CD77F5"/>
    <w:rsid w:val="00CD7CD7"/>
    <w:rsid w:val="00CD7DD7"/>
    <w:rsid w:val="00CE0245"/>
    <w:rsid w:val="00CE47BF"/>
    <w:rsid w:val="00CE76D0"/>
    <w:rsid w:val="00CF43D3"/>
    <w:rsid w:val="00CF4997"/>
    <w:rsid w:val="00CF7256"/>
    <w:rsid w:val="00CF75BB"/>
    <w:rsid w:val="00D03579"/>
    <w:rsid w:val="00D04FCE"/>
    <w:rsid w:val="00D11D9E"/>
    <w:rsid w:val="00D13247"/>
    <w:rsid w:val="00D1341B"/>
    <w:rsid w:val="00D13E31"/>
    <w:rsid w:val="00D16614"/>
    <w:rsid w:val="00D2127E"/>
    <w:rsid w:val="00D228D1"/>
    <w:rsid w:val="00D22DFA"/>
    <w:rsid w:val="00D24B8C"/>
    <w:rsid w:val="00D26AA8"/>
    <w:rsid w:val="00D27019"/>
    <w:rsid w:val="00D315DA"/>
    <w:rsid w:val="00D3317F"/>
    <w:rsid w:val="00D360BE"/>
    <w:rsid w:val="00D40BC5"/>
    <w:rsid w:val="00D40F06"/>
    <w:rsid w:val="00D44057"/>
    <w:rsid w:val="00D44B67"/>
    <w:rsid w:val="00D44E81"/>
    <w:rsid w:val="00D4599E"/>
    <w:rsid w:val="00D47576"/>
    <w:rsid w:val="00D479E8"/>
    <w:rsid w:val="00D542F2"/>
    <w:rsid w:val="00D5493C"/>
    <w:rsid w:val="00D56F9B"/>
    <w:rsid w:val="00D61162"/>
    <w:rsid w:val="00D61BD1"/>
    <w:rsid w:val="00D631BE"/>
    <w:rsid w:val="00D635C4"/>
    <w:rsid w:val="00D65D0C"/>
    <w:rsid w:val="00D66AE2"/>
    <w:rsid w:val="00D66B0F"/>
    <w:rsid w:val="00D671EA"/>
    <w:rsid w:val="00D72C3B"/>
    <w:rsid w:val="00D74180"/>
    <w:rsid w:val="00D744B4"/>
    <w:rsid w:val="00D7549F"/>
    <w:rsid w:val="00D77416"/>
    <w:rsid w:val="00D774D4"/>
    <w:rsid w:val="00D7757D"/>
    <w:rsid w:val="00D8023F"/>
    <w:rsid w:val="00D80950"/>
    <w:rsid w:val="00D8348B"/>
    <w:rsid w:val="00D868F2"/>
    <w:rsid w:val="00D86FDE"/>
    <w:rsid w:val="00D8757C"/>
    <w:rsid w:val="00D908D3"/>
    <w:rsid w:val="00D90C19"/>
    <w:rsid w:val="00D91C36"/>
    <w:rsid w:val="00D94AE6"/>
    <w:rsid w:val="00D94BB9"/>
    <w:rsid w:val="00D95048"/>
    <w:rsid w:val="00DA1AE4"/>
    <w:rsid w:val="00DA283C"/>
    <w:rsid w:val="00DA437B"/>
    <w:rsid w:val="00DA78D7"/>
    <w:rsid w:val="00DB0831"/>
    <w:rsid w:val="00DB1859"/>
    <w:rsid w:val="00DB1D37"/>
    <w:rsid w:val="00DB3A56"/>
    <w:rsid w:val="00DB6FE7"/>
    <w:rsid w:val="00DC1D00"/>
    <w:rsid w:val="00DC2A9F"/>
    <w:rsid w:val="00DC552D"/>
    <w:rsid w:val="00DC7B47"/>
    <w:rsid w:val="00DD1A5C"/>
    <w:rsid w:val="00DD1F41"/>
    <w:rsid w:val="00DD34E5"/>
    <w:rsid w:val="00DD3639"/>
    <w:rsid w:val="00DD4360"/>
    <w:rsid w:val="00DD6DD7"/>
    <w:rsid w:val="00DD6FD2"/>
    <w:rsid w:val="00DE1373"/>
    <w:rsid w:val="00DE21B5"/>
    <w:rsid w:val="00DE2EF0"/>
    <w:rsid w:val="00DE5A74"/>
    <w:rsid w:val="00DF0EBB"/>
    <w:rsid w:val="00DF22C3"/>
    <w:rsid w:val="00DF298C"/>
    <w:rsid w:val="00DF40A0"/>
    <w:rsid w:val="00DF4135"/>
    <w:rsid w:val="00DF5A45"/>
    <w:rsid w:val="00DF6369"/>
    <w:rsid w:val="00DF693A"/>
    <w:rsid w:val="00E0259E"/>
    <w:rsid w:val="00E0287C"/>
    <w:rsid w:val="00E0318A"/>
    <w:rsid w:val="00E04CC3"/>
    <w:rsid w:val="00E1000C"/>
    <w:rsid w:val="00E10BFF"/>
    <w:rsid w:val="00E1186D"/>
    <w:rsid w:val="00E1484A"/>
    <w:rsid w:val="00E152C9"/>
    <w:rsid w:val="00E2020D"/>
    <w:rsid w:val="00E21A06"/>
    <w:rsid w:val="00E2576F"/>
    <w:rsid w:val="00E30197"/>
    <w:rsid w:val="00E30704"/>
    <w:rsid w:val="00E30B21"/>
    <w:rsid w:val="00E344E1"/>
    <w:rsid w:val="00E34784"/>
    <w:rsid w:val="00E42B97"/>
    <w:rsid w:val="00E46AF8"/>
    <w:rsid w:val="00E5409A"/>
    <w:rsid w:val="00E5458F"/>
    <w:rsid w:val="00E61333"/>
    <w:rsid w:val="00E6159D"/>
    <w:rsid w:val="00E62805"/>
    <w:rsid w:val="00E67AB7"/>
    <w:rsid w:val="00E743FC"/>
    <w:rsid w:val="00E760DC"/>
    <w:rsid w:val="00E772BA"/>
    <w:rsid w:val="00E80BCE"/>
    <w:rsid w:val="00E80EFF"/>
    <w:rsid w:val="00E81CF1"/>
    <w:rsid w:val="00E82532"/>
    <w:rsid w:val="00E855FA"/>
    <w:rsid w:val="00E85BD7"/>
    <w:rsid w:val="00E85F4F"/>
    <w:rsid w:val="00E87612"/>
    <w:rsid w:val="00E905AE"/>
    <w:rsid w:val="00E92ACD"/>
    <w:rsid w:val="00E974A2"/>
    <w:rsid w:val="00EA0415"/>
    <w:rsid w:val="00EA5AB5"/>
    <w:rsid w:val="00EA5D6A"/>
    <w:rsid w:val="00EA6950"/>
    <w:rsid w:val="00EB57E9"/>
    <w:rsid w:val="00EC05E9"/>
    <w:rsid w:val="00EC2A61"/>
    <w:rsid w:val="00EC2D7F"/>
    <w:rsid w:val="00EC614F"/>
    <w:rsid w:val="00EC6556"/>
    <w:rsid w:val="00ED1FD7"/>
    <w:rsid w:val="00ED3275"/>
    <w:rsid w:val="00ED3A25"/>
    <w:rsid w:val="00ED5234"/>
    <w:rsid w:val="00ED5C41"/>
    <w:rsid w:val="00EE1152"/>
    <w:rsid w:val="00EE2474"/>
    <w:rsid w:val="00EF28C5"/>
    <w:rsid w:val="00EF324E"/>
    <w:rsid w:val="00EF349C"/>
    <w:rsid w:val="00EF39B2"/>
    <w:rsid w:val="00EF39ED"/>
    <w:rsid w:val="00F021CF"/>
    <w:rsid w:val="00F05B0F"/>
    <w:rsid w:val="00F12BB0"/>
    <w:rsid w:val="00F13DE3"/>
    <w:rsid w:val="00F13E79"/>
    <w:rsid w:val="00F16AF2"/>
    <w:rsid w:val="00F17BAE"/>
    <w:rsid w:val="00F2001D"/>
    <w:rsid w:val="00F20029"/>
    <w:rsid w:val="00F2201F"/>
    <w:rsid w:val="00F23852"/>
    <w:rsid w:val="00F24D86"/>
    <w:rsid w:val="00F318B8"/>
    <w:rsid w:val="00F323B7"/>
    <w:rsid w:val="00F33B15"/>
    <w:rsid w:val="00F341B8"/>
    <w:rsid w:val="00F417A3"/>
    <w:rsid w:val="00F42B7E"/>
    <w:rsid w:val="00F42C82"/>
    <w:rsid w:val="00F42EDB"/>
    <w:rsid w:val="00F44275"/>
    <w:rsid w:val="00F46C0C"/>
    <w:rsid w:val="00F5064E"/>
    <w:rsid w:val="00F55B72"/>
    <w:rsid w:val="00F6056C"/>
    <w:rsid w:val="00F60CB5"/>
    <w:rsid w:val="00F61581"/>
    <w:rsid w:val="00F62E7F"/>
    <w:rsid w:val="00F63BB9"/>
    <w:rsid w:val="00F658B9"/>
    <w:rsid w:val="00F67DBB"/>
    <w:rsid w:val="00F700AA"/>
    <w:rsid w:val="00F718B0"/>
    <w:rsid w:val="00F73A71"/>
    <w:rsid w:val="00F77D48"/>
    <w:rsid w:val="00F8293E"/>
    <w:rsid w:val="00F82BD4"/>
    <w:rsid w:val="00F84C94"/>
    <w:rsid w:val="00F90BB6"/>
    <w:rsid w:val="00F915D1"/>
    <w:rsid w:val="00F91939"/>
    <w:rsid w:val="00F93E86"/>
    <w:rsid w:val="00F9576D"/>
    <w:rsid w:val="00F95F0C"/>
    <w:rsid w:val="00F9732F"/>
    <w:rsid w:val="00FA0E7F"/>
    <w:rsid w:val="00FA3548"/>
    <w:rsid w:val="00FA4B38"/>
    <w:rsid w:val="00FA50EB"/>
    <w:rsid w:val="00FA6DC0"/>
    <w:rsid w:val="00FA7EB1"/>
    <w:rsid w:val="00FB1CEC"/>
    <w:rsid w:val="00FB419B"/>
    <w:rsid w:val="00FB46DC"/>
    <w:rsid w:val="00FB6F9F"/>
    <w:rsid w:val="00FB7A48"/>
    <w:rsid w:val="00FC12FE"/>
    <w:rsid w:val="00FC1489"/>
    <w:rsid w:val="00FC3441"/>
    <w:rsid w:val="00FD1ED3"/>
    <w:rsid w:val="00FD6C28"/>
    <w:rsid w:val="00FE1287"/>
    <w:rsid w:val="00FE310B"/>
    <w:rsid w:val="00FE39B9"/>
    <w:rsid w:val="00FE6AD7"/>
    <w:rsid w:val="00FF1BA9"/>
    <w:rsid w:val="00FF5290"/>
    <w:rsid w:val="00FF60DC"/>
    <w:rsid w:val="019C3A88"/>
    <w:rsid w:val="02287D7E"/>
    <w:rsid w:val="02481110"/>
    <w:rsid w:val="030E6553"/>
    <w:rsid w:val="03960557"/>
    <w:rsid w:val="03C84930"/>
    <w:rsid w:val="03DF7E09"/>
    <w:rsid w:val="03E67E90"/>
    <w:rsid w:val="043613A4"/>
    <w:rsid w:val="04615143"/>
    <w:rsid w:val="04754202"/>
    <w:rsid w:val="047D0584"/>
    <w:rsid w:val="048320BB"/>
    <w:rsid w:val="04B563C2"/>
    <w:rsid w:val="05531A54"/>
    <w:rsid w:val="05E53AA2"/>
    <w:rsid w:val="05F92C68"/>
    <w:rsid w:val="0620235A"/>
    <w:rsid w:val="06571B7A"/>
    <w:rsid w:val="06B10ACD"/>
    <w:rsid w:val="06C25923"/>
    <w:rsid w:val="071D11C9"/>
    <w:rsid w:val="077111CE"/>
    <w:rsid w:val="0772575A"/>
    <w:rsid w:val="07DA3A8F"/>
    <w:rsid w:val="08316975"/>
    <w:rsid w:val="089D7C92"/>
    <w:rsid w:val="09C92DD3"/>
    <w:rsid w:val="09CF6E4B"/>
    <w:rsid w:val="0AB4609E"/>
    <w:rsid w:val="0ADD46DD"/>
    <w:rsid w:val="0ADE415D"/>
    <w:rsid w:val="0BD554C2"/>
    <w:rsid w:val="0C63073D"/>
    <w:rsid w:val="0C7318E1"/>
    <w:rsid w:val="0C901A7D"/>
    <w:rsid w:val="0CCF6888"/>
    <w:rsid w:val="0CD47A08"/>
    <w:rsid w:val="0D0C188A"/>
    <w:rsid w:val="0D942B1C"/>
    <w:rsid w:val="0DD71E98"/>
    <w:rsid w:val="0E43752E"/>
    <w:rsid w:val="0F121EF0"/>
    <w:rsid w:val="0F861B49"/>
    <w:rsid w:val="101038B6"/>
    <w:rsid w:val="10196798"/>
    <w:rsid w:val="11304CEB"/>
    <w:rsid w:val="118916FB"/>
    <w:rsid w:val="11AF4DCB"/>
    <w:rsid w:val="11CB238C"/>
    <w:rsid w:val="11DF1890"/>
    <w:rsid w:val="126A6425"/>
    <w:rsid w:val="127E6D86"/>
    <w:rsid w:val="12955111"/>
    <w:rsid w:val="12B427A8"/>
    <w:rsid w:val="12CC6E6D"/>
    <w:rsid w:val="13521C7D"/>
    <w:rsid w:val="13806E42"/>
    <w:rsid w:val="140E7482"/>
    <w:rsid w:val="1440520B"/>
    <w:rsid w:val="14654E7D"/>
    <w:rsid w:val="14737EE6"/>
    <w:rsid w:val="149063EC"/>
    <w:rsid w:val="151A0368"/>
    <w:rsid w:val="168C460E"/>
    <w:rsid w:val="171071EA"/>
    <w:rsid w:val="174F62D6"/>
    <w:rsid w:val="17EE77F0"/>
    <w:rsid w:val="180F7034"/>
    <w:rsid w:val="183A0A1F"/>
    <w:rsid w:val="187A1D9E"/>
    <w:rsid w:val="18D56A9E"/>
    <w:rsid w:val="19006747"/>
    <w:rsid w:val="190525BE"/>
    <w:rsid w:val="198C1D89"/>
    <w:rsid w:val="19C23937"/>
    <w:rsid w:val="1A342318"/>
    <w:rsid w:val="1A9E3268"/>
    <w:rsid w:val="1B74013C"/>
    <w:rsid w:val="1BCA1848"/>
    <w:rsid w:val="1C762227"/>
    <w:rsid w:val="1CDC3027"/>
    <w:rsid w:val="1CFA34AD"/>
    <w:rsid w:val="1D9F120E"/>
    <w:rsid w:val="1E0D2BED"/>
    <w:rsid w:val="1E591AD6"/>
    <w:rsid w:val="1E7B37A5"/>
    <w:rsid w:val="1EA44D1C"/>
    <w:rsid w:val="1EB0258C"/>
    <w:rsid w:val="1ECD2D49"/>
    <w:rsid w:val="1F14499E"/>
    <w:rsid w:val="1F5B26C7"/>
    <w:rsid w:val="1F5C044F"/>
    <w:rsid w:val="1FF450C0"/>
    <w:rsid w:val="203A4DF7"/>
    <w:rsid w:val="20793160"/>
    <w:rsid w:val="21430A11"/>
    <w:rsid w:val="215A4BDB"/>
    <w:rsid w:val="21962D82"/>
    <w:rsid w:val="219D221A"/>
    <w:rsid w:val="21AB33D9"/>
    <w:rsid w:val="223A41F0"/>
    <w:rsid w:val="224109E7"/>
    <w:rsid w:val="224F2695"/>
    <w:rsid w:val="22CA56D0"/>
    <w:rsid w:val="22EB689E"/>
    <w:rsid w:val="235E2371"/>
    <w:rsid w:val="248F38ED"/>
    <w:rsid w:val="249C2E00"/>
    <w:rsid w:val="24B147FA"/>
    <w:rsid w:val="251F5A1E"/>
    <w:rsid w:val="26D05BFA"/>
    <w:rsid w:val="274160AD"/>
    <w:rsid w:val="27F62AEE"/>
    <w:rsid w:val="283223CC"/>
    <w:rsid w:val="2866365B"/>
    <w:rsid w:val="28E50C7F"/>
    <w:rsid w:val="28EB2659"/>
    <w:rsid w:val="28EC345C"/>
    <w:rsid w:val="29202FD3"/>
    <w:rsid w:val="2A44220C"/>
    <w:rsid w:val="2AB14810"/>
    <w:rsid w:val="2AD3072D"/>
    <w:rsid w:val="2B6C7C6C"/>
    <w:rsid w:val="2BDD6474"/>
    <w:rsid w:val="2C0B54C5"/>
    <w:rsid w:val="2C292017"/>
    <w:rsid w:val="2CAC4BA2"/>
    <w:rsid w:val="2CB35C78"/>
    <w:rsid w:val="2CF23FA9"/>
    <w:rsid w:val="2CF40890"/>
    <w:rsid w:val="2D1719A4"/>
    <w:rsid w:val="2DDE509E"/>
    <w:rsid w:val="2F204A26"/>
    <w:rsid w:val="2F3045A4"/>
    <w:rsid w:val="2F567AA0"/>
    <w:rsid w:val="301645BB"/>
    <w:rsid w:val="30302844"/>
    <w:rsid w:val="30654C8A"/>
    <w:rsid w:val="309F5392"/>
    <w:rsid w:val="30B4367E"/>
    <w:rsid w:val="3161171F"/>
    <w:rsid w:val="319A28B2"/>
    <w:rsid w:val="3276083D"/>
    <w:rsid w:val="329A3661"/>
    <w:rsid w:val="32D16C5C"/>
    <w:rsid w:val="339B19D0"/>
    <w:rsid w:val="33EE2317"/>
    <w:rsid w:val="3508551A"/>
    <w:rsid w:val="359C0F7A"/>
    <w:rsid w:val="35E113E3"/>
    <w:rsid w:val="35E57169"/>
    <w:rsid w:val="370B120F"/>
    <w:rsid w:val="37776170"/>
    <w:rsid w:val="37781747"/>
    <w:rsid w:val="37847CCD"/>
    <w:rsid w:val="378B37C3"/>
    <w:rsid w:val="37CD2E49"/>
    <w:rsid w:val="381C1DAF"/>
    <w:rsid w:val="382B35B4"/>
    <w:rsid w:val="3941563D"/>
    <w:rsid w:val="3AE332B3"/>
    <w:rsid w:val="3B071D45"/>
    <w:rsid w:val="3BB54959"/>
    <w:rsid w:val="3C8C247C"/>
    <w:rsid w:val="3D514278"/>
    <w:rsid w:val="3D65545B"/>
    <w:rsid w:val="3DFB2CDF"/>
    <w:rsid w:val="3E7C6D69"/>
    <w:rsid w:val="3EB83A8B"/>
    <w:rsid w:val="3EE51A3E"/>
    <w:rsid w:val="3F4D512E"/>
    <w:rsid w:val="3FA119B7"/>
    <w:rsid w:val="40177DE3"/>
    <w:rsid w:val="407A192C"/>
    <w:rsid w:val="417A1877"/>
    <w:rsid w:val="4186089B"/>
    <w:rsid w:val="42654E02"/>
    <w:rsid w:val="427C0258"/>
    <w:rsid w:val="42EF614C"/>
    <w:rsid w:val="432253DD"/>
    <w:rsid w:val="43863DDA"/>
    <w:rsid w:val="43D011EA"/>
    <w:rsid w:val="441477C8"/>
    <w:rsid w:val="444939F2"/>
    <w:rsid w:val="44557E80"/>
    <w:rsid w:val="4473408E"/>
    <w:rsid w:val="45551365"/>
    <w:rsid w:val="45CD7101"/>
    <w:rsid w:val="46484442"/>
    <w:rsid w:val="476F66C2"/>
    <w:rsid w:val="47B01446"/>
    <w:rsid w:val="47CC27EE"/>
    <w:rsid w:val="480C3F11"/>
    <w:rsid w:val="482809DA"/>
    <w:rsid w:val="491E1806"/>
    <w:rsid w:val="496B47B7"/>
    <w:rsid w:val="49D967F8"/>
    <w:rsid w:val="4A0B7731"/>
    <w:rsid w:val="4A9A751F"/>
    <w:rsid w:val="4AB8212E"/>
    <w:rsid w:val="4AC05A5A"/>
    <w:rsid w:val="4AE10089"/>
    <w:rsid w:val="4B022328"/>
    <w:rsid w:val="4B384AFB"/>
    <w:rsid w:val="4B3A3DE4"/>
    <w:rsid w:val="4B6217B9"/>
    <w:rsid w:val="4B701FD3"/>
    <w:rsid w:val="4B77032C"/>
    <w:rsid w:val="4BCA4DC2"/>
    <w:rsid w:val="4BD125AC"/>
    <w:rsid w:val="4BD340D8"/>
    <w:rsid w:val="4C360546"/>
    <w:rsid w:val="4CFF75D5"/>
    <w:rsid w:val="4DAE5F5E"/>
    <w:rsid w:val="4DD651D7"/>
    <w:rsid w:val="4DFD0FE1"/>
    <w:rsid w:val="4E6B5729"/>
    <w:rsid w:val="4EA404FD"/>
    <w:rsid w:val="4FA56487"/>
    <w:rsid w:val="4FC44EDC"/>
    <w:rsid w:val="4FF051A0"/>
    <w:rsid w:val="50141FA4"/>
    <w:rsid w:val="507506FE"/>
    <w:rsid w:val="50D954C3"/>
    <w:rsid w:val="50FE2791"/>
    <w:rsid w:val="51752B27"/>
    <w:rsid w:val="52C12FB4"/>
    <w:rsid w:val="53307DE8"/>
    <w:rsid w:val="535B5D4C"/>
    <w:rsid w:val="53866EE0"/>
    <w:rsid w:val="538F587F"/>
    <w:rsid w:val="544E2FF3"/>
    <w:rsid w:val="54791DE5"/>
    <w:rsid w:val="55D63612"/>
    <w:rsid w:val="56C113D0"/>
    <w:rsid w:val="56CB143B"/>
    <w:rsid w:val="57E05BE1"/>
    <w:rsid w:val="58346A24"/>
    <w:rsid w:val="58F72073"/>
    <w:rsid w:val="59464DA9"/>
    <w:rsid w:val="59654F1B"/>
    <w:rsid w:val="59751451"/>
    <w:rsid w:val="59F82547"/>
    <w:rsid w:val="5A8E6B50"/>
    <w:rsid w:val="5B04040A"/>
    <w:rsid w:val="5B526E3B"/>
    <w:rsid w:val="5D176670"/>
    <w:rsid w:val="5DB42246"/>
    <w:rsid w:val="5DBC1ADE"/>
    <w:rsid w:val="5E0D2C7D"/>
    <w:rsid w:val="5E2C755E"/>
    <w:rsid w:val="5E4A6AF2"/>
    <w:rsid w:val="5EFB5FCF"/>
    <w:rsid w:val="5F185E67"/>
    <w:rsid w:val="5F912EFC"/>
    <w:rsid w:val="5FA752A4"/>
    <w:rsid w:val="60032F94"/>
    <w:rsid w:val="60532394"/>
    <w:rsid w:val="605C4EB2"/>
    <w:rsid w:val="609346F9"/>
    <w:rsid w:val="60976762"/>
    <w:rsid w:val="60E87DCD"/>
    <w:rsid w:val="615674ED"/>
    <w:rsid w:val="62202150"/>
    <w:rsid w:val="62255EA3"/>
    <w:rsid w:val="635001EF"/>
    <w:rsid w:val="637048DB"/>
    <w:rsid w:val="63D0272B"/>
    <w:rsid w:val="64834717"/>
    <w:rsid w:val="64AA146F"/>
    <w:rsid w:val="64CB447C"/>
    <w:rsid w:val="64F629E2"/>
    <w:rsid w:val="650B1EAB"/>
    <w:rsid w:val="65335497"/>
    <w:rsid w:val="65431800"/>
    <w:rsid w:val="659956F1"/>
    <w:rsid w:val="65D76172"/>
    <w:rsid w:val="66C77325"/>
    <w:rsid w:val="66CE3288"/>
    <w:rsid w:val="673D7D13"/>
    <w:rsid w:val="678673E4"/>
    <w:rsid w:val="686751B1"/>
    <w:rsid w:val="68931D4F"/>
    <w:rsid w:val="68996CA3"/>
    <w:rsid w:val="68C6406F"/>
    <w:rsid w:val="6A1638AD"/>
    <w:rsid w:val="6A3944D6"/>
    <w:rsid w:val="6A411797"/>
    <w:rsid w:val="6B4551DF"/>
    <w:rsid w:val="6B9E2823"/>
    <w:rsid w:val="6BC935EB"/>
    <w:rsid w:val="6C1D59BA"/>
    <w:rsid w:val="6C992C34"/>
    <w:rsid w:val="6CA95923"/>
    <w:rsid w:val="6CDF45CD"/>
    <w:rsid w:val="6D7418A4"/>
    <w:rsid w:val="6D756958"/>
    <w:rsid w:val="6E3B0A20"/>
    <w:rsid w:val="70227EC6"/>
    <w:rsid w:val="71035C45"/>
    <w:rsid w:val="718323E3"/>
    <w:rsid w:val="718B3849"/>
    <w:rsid w:val="719A58E8"/>
    <w:rsid w:val="72CC5323"/>
    <w:rsid w:val="72E90ED3"/>
    <w:rsid w:val="73663647"/>
    <w:rsid w:val="7377015A"/>
    <w:rsid w:val="73966C01"/>
    <w:rsid w:val="739D2BFF"/>
    <w:rsid w:val="73B77D0C"/>
    <w:rsid w:val="73C37269"/>
    <w:rsid w:val="74027DBB"/>
    <w:rsid w:val="74904D19"/>
    <w:rsid w:val="752419D7"/>
    <w:rsid w:val="7526130E"/>
    <w:rsid w:val="75877E1B"/>
    <w:rsid w:val="75A62E64"/>
    <w:rsid w:val="75B4228D"/>
    <w:rsid w:val="75BB53FD"/>
    <w:rsid w:val="75E96582"/>
    <w:rsid w:val="76470CAA"/>
    <w:rsid w:val="764D1082"/>
    <w:rsid w:val="766F2799"/>
    <w:rsid w:val="76FC63AD"/>
    <w:rsid w:val="772C5186"/>
    <w:rsid w:val="773B6256"/>
    <w:rsid w:val="774C0D1D"/>
    <w:rsid w:val="776D5ECB"/>
    <w:rsid w:val="77A56A8D"/>
    <w:rsid w:val="780B7492"/>
    <w:rsid w:val="792C0FD8"/>
    <w:rsid w:val="79C82DEC"/>
    <w:rsid w:val="79D7332C"/>
    <w:rsid w:val="7A3C0663"/>
    <w:rsid w:val="7AC758F2"/>
    <w:rsid w:val="7B545D98"/>
    <w:rsid w:val="7D07233B"/>
    <w:rsid w:val="7D1B6488"/>
    <w:rsid w:val="7D40391F"/>
    <w:rsid w:val="7DF96BCA"/>
    <w:rsid w:val="7E1251F4"/>
    <w:rsid w:val="7E1C2E5A"/>
    <w:rsid w:val="7E6416AA"/>
    <w:rsid w:val="7EE66F59"/>
    <w:rsid w:val="7F1A6E76"/>
    <w:rsid w:val="7F1F783D"/>
    <w:rsid w:val="7FAF39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1" w:semiHidden="0" w:name="heading 2"/>
    <w:lsdException w:qFormat="1" w:uiPriority="1" w:semiHidden="0" w:name="heading 3"/>
    <w:lsdException w:qFormat="1" w:uiPriority="1" w:semiHidden="0" w:name="heading 4"/>
    <w:lsdException w:qFormat="1" w:uiPriority="1"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1"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Courier New" w:cs="Times New Roman"/>
      <w:kern w:val="2"/>
      <w:sz w:val="21"/>
      <w:szCs w:val="21"/>
      <w:lang w:val="en-US" w:eastAsia="zh-CN" w:bidi="ar-SA"/>
    </w:rPr>
  </w:style>
  <w:style w:type="paragraph" w:styleId="4">
    <w:name w:val="heading 1"/>
    <w:basedOn w:val="1"/>
    <w:next w:val="1"/>
    <w:qFormat/>
    <w:uiPriority w:val="1"/>
    <w:pPr>
      <w:keepNext/>
      <w:keepLines/>
      <w:spacing w:before="340" w:after="330" w:line="576" w:lineRule="auto"/>
      <w:outlineLvl w:val="0"/>
    </w:pPr>
    <w:rPr>
      <w:b/>
      <w:kern w:val="44"/>
      <w:sz w:val="44"/>
    </w:rPr>
  </w:style>
  <w:style w:type="paragraph" w:styleId="5">
    <w:name w:val="heading 2"/>
    <w:basedOn w:val="1"/>
    <w:next w:val="1"/>
    <w:link w:val="30"/>
    <w:qFormat/>
    <w:uiPriority w:val="1"/>
    <w:pPr>
      <w:keepNext/>
      <w:keepLines/>
      <w:adjustRightInd w:val="0"/>
      <w:snapToGrid w:val="0"/>
      <w:spacing w:before="260" w:after="260" w:line="416" w:lineRule="auto"/>
      <w:ind w:firstLine="600" w:firstLineChars="200"/>
      <w:outlineLvl w:val="1"/>
    </w:pPr>
    <w:rPr>
      <w:rFonts w:ascii="Arial" w:hAnsi="Arial" w:eastAsia="Symbol"/>
      <w:b/>
      <w:bCs/>
      <w:sz w:val="32"/>
      <w:szCs w:val="32"/>
    </w:rPr>
  </w:style>
  <w:style w:type="paragraph" w:styleId="6">
    <w:name w:val="heading 3"/>
    <w:basedOn w:val="1"/>
    <w:next w:val="1"/>
    <w:unhideWhenUsed/>
    <w:qFormat/>
    <w:uiPriority w:val="1"/>
    <w:pPr>
      <w:keepNext/>
      <w:keepLines/>
      <w:spacing w:before="260" w:after="260" w:line="413" w:lineRule="auto"/>
      <w:outlineLvl w:val="2"/>
    </w:pPr>
    <w:rPr>
      <w:b/>
      <w:sz w:val="32"/>
    </w:rPr>
  </w:style>
  <w:style w:type="paragraph" w:styleId="7">
    <w:name w:val="heading 4"/>
    <w:basedOn w:val="1"/>
    <w:next w:val="1"/>
    <w:link w:val="35"/>
    <w:unhideWhenUsed/>
    <w:qFormat/>
    <w:uiPriority w:val="1"/>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8">
    <w:name w:val="heading 5"/>
    <w:basedOn w:val="1"/>
    <w:next w:val="1"/>
    <w:link w:val="33"/>
    <w:unhideWhenUsed/>
    <w:qFormat/>
    <w:uiPriority w:val="1"/>
    <w:pPr>
      <w:keepNext/>
      <w:keepLines/>
      <w:spacing w:before="280" w:after="290" w:line="376" w:lineRule="auto"/>
      <w:outlineLvl w:val="4"/>
    </w:pPr>
    <w:rPr>
      <w:b/>
      <w:bCs/>
      <w:sz w:val="28"/>
      <w:szCs w:val="28"/>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First Indent 2"/>
    <w:basedOn w:val="3"/>
    <w:qFormat/>
    <w:uiPriority w:val="0"/>
    <w:pPr>
      <w:ind w:firstLine="420"/>
    </w:pPr>
  </w:style>
  <w:style w:type="paragraph" w:styleId="3">
    <w:name w:val="Body Text Indent"/>
    <w:basedOn w:val="1"/>
    <w:qFormat/>
    <w:uiPriority w:val="0"/>
    <w:pPr>
      <w:spacing w:after="120"/>
      <w:ind w:left="420" w:leftChars="200"/>
      <w:jc w:val="left"/>
    </w:pPr>
    <w:rPr>
      <w:rFonts w:hint="eastAsia" w:ascii="宋体" w:hAnsi="宋体" w:eastAsia="宋体"/>
      <w:kern w:val="0"/>
      <w:sz w:val="24"/>
      <w:szCs w:val="24"/>
    </w:rPr>
  </w:style>
  <w:style w:type="paragraph" w:styleId="9">
    <w:name w:val="Normal Indent"/>
    <w:basedOn w:val="1"/>
    <w:next w:val="10"/>
    <w:qFormat/>
    <w:uiPriority w:val="0"/>
    <w:pPr>
      <w:spacing w:line="360" w:lineRule="auto"/>
      <w:ind w:firstLine="420" w:firstLineChars="200"/>
      <w:jc w:val="left"/>
    </w:pPr>
    <w:rPr>
      <w:rFonts w:ascii="仿宋_GB2312" w:hAnsi="Arial" w:eastAsia="仿宋_GB2312"/>
      <w:kern w:val="0"/>
      <w:sz w:val="30"/>
      <w:szCs w:val="30"/>
    </w:rPr>
  </w:style>
  <w:style w:type="paragraph" w:styleId="10">
    <w:name w:val="Body Text"/>
    <w:basedOn w:val="1"/>
    <w:link w:val="34"/>
    <w:unhideWhenUsed/>
    <w:qFormat/>
    <w:uiPriority w:val="1"/>
    <w:pPr>
      <w:spacing w:after="120"/>
    </w:pPr>
  </w:style>
  <w:style w:type="paragraph" w:styleId="11">
    <w:name w:val="annotation text"/>
    <w:basedOn w:val="1"/>
    <w:link w:val="26"/>
    <w:unhideWhenUsed/>
    <w:qFormat/>
    <w:uiPriority w:val="99"/>
    <w:pPr>
      <w:jc w:val="left"/>
    </w:pPr>
  </w:style>
  <w:style w:type="paragraph" w:styleId="12">
    <w:name w:val="Balloon Text"/>
    <w:basedOn w:val="1"/>
    <w:link w:val="36"/>
    <w:semiHidden/>
    <w:unhideWhenUsed/>
    <w:qFormat/>
    <w:uiPriority w:val="99"/>
    <w:rPr>
      <w:sz w:val="18"/>
      <w:szCs w:val="18"/>
    </w:rPr>
  </w:style>
  <w:style w:type="paragraph" w:styleId="13">
    <w:name w:val="footer"/>
    <w:basedOn w:val="1"/>
    <w:link w:val="25"/>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4">
    <w:name w:val="header"/>
    <w:basedOn w:val="1"/>
    <w:link w:val="24"/>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15">
    <w:name w:val="toc 1"/>
    <w:basedOn w:val="1"/>
    <w:next w:val="1"/>
    <w:unhideWhenUsed/>
    <w:qFormat/>
    <w:uiPriority w:val="39"/>
    <w:pPr>
      <w:tabs>
        <w:tab w:val="right" w:leader="dot" w:pos="8714"/>
      </w:tabs>
      <w:spacing w:before="60" w:line="360" w:lineRule="auto"/>
      <w:ind w:left="200" w:leftChars="200"/>
      <w:jc w:val="left"/>
    </w:pPr>
    <w:rPr>
      <w:rFonts w:eastAsia="Helvetica" w:cs="Courier"/>
      <w:bCs/>
      <w:caps/>
      <w:sz w:val="30"/>
      <w:szCs w:val="20"/>
    </w:rPr>
  </w:style>
  <w:style w:type="paragraph" w:styleId="16">
    <w:name w:val="Subtitle"/>
    <w:basedOn w:val="1"/>
    <w:next w:val="1"/>
    <w:link w:val="29"/>
    <w:qFormat/>
    <w:uiPriority w:val="11"/>
    <w:pPr>
      <w:spacing w:before="240" w:after="60" w:line="312" w:lineRule="auto"/>
      <w:jc w:val="center"/>
      <w:outlineLvl w:val="1"/>
    </w:pPr>
    <w:rPr>
      <w:rFonts w:asciiTheme="minorHAnsi" w:hAnsiTheme="minorHAnsi" w:eastAsiaTheme="minorEastAsia" w:cstheme="minorBidi"/>
      <w:b/>
      <w:bCs/>
      <w:kern w:val="28"/>
      <w:sz w:val="32"/>
      <w:szCs w:val="32"/>
    </w:rPr>
  </w:style>
  <w:style w:type="paragraph" w:styleId="17">
    <w:name w:val="toc 2"/>
    <w:basedOn w:val="1"/>
    <w:next w:val="1"/>
    <w:unhideWhenUsed/>
    <w:qFormat/>
    <w:uiPriority w:val="39"/>
    <w:pPr>
      <w:tabs>
        <w:tab w:val="right" w:leader="dot" w:pos="8714"/>
      </w:tabs>
      <w:spacing w:line="360" w:lineRule="auto"/>
      <w:ind w:left="350" w:leftChars="350"/>
      <w:jc w:val="left"/>
    </w:pPr>
    <w:rPr>
      <w:rFonts w:eastAsia="Tms Rmn" w:cs="Courier"/>
      <w:smallCaps/>
      <w:sz w:val="30"/>
      <w:szCs w:val="20"/>
    </w:rPr>
  </w:style>
  <w:style w:type="paragraph" w:styleId="18">
    <w:name w:val="annotation subject"/>
    <w:basedOn w:val="11"/>
    <w:next w:val="11"/>
    <w:link w:val="27"/>
    <w:semiHidden/>
    <w:unhideWhenUsed/>
    <w:qFormat/>
    <w:uiPriority w:val="99"/>
    <w:rPr>
      <w:b/>
      <w:bCs/>
    </w:rPr>
  </w:style>
  <w:style w:type="table" w:styleId="20">
    <w:name w:val="Table Grid"/>
    <w:basedOn w:val="1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2">
    <w:name w:val="Hyperlink"/>
    <w:basedOn w:val="21"/>
    <w:unhideWhenUsed/>
    <w:qFormat/>
    <w:uiPriority w:val="99"/>
    <w:rPr>
      <w:color w:val="0563C1" w:themeColor="hyperlink"/>
      <w:u w:val="single"/>
      <w14:textFill>
        <w14:solidFill>
          <w14:schemeClr w14:val="hlink"/>
        </w14:solidFill>
      </w14:textFill>
    </w:rPr>
  </w:style>
  <w:style w:type="character" w:styleId="23">
    <w:name w:val="annotation reference"/>
    <w:basedOn w:val="21"/>
    <w:unhideWhenUsed/>
    <w:qFormat/>
    <w:uiPriority w:val="99"/>
    <w:rPr>
      <w:sz w:val="21"/>
      <w:szCs w:val="21"/>
    </w:rPr>
  </w:style>
  <w:style w:type="character" w:customStyle="1" w:styleId="24">
    <w:name w:val="页眉 Char"/>
    <w:basedOn w:val="21"/>
    <w:link w:val="14"/>
    <w:qFormat/>
    <w:uiPriority w:val="99"/>
    <w:rPr>
      <w:sz w:val="18"/>
      <w:szCs w:val="18"/>
    </w:rPr>
  </w:style>
  <w:style w:type="character" w:customStyle="1" w:styleId="25">
    <w:name w:val="页脚 Char"/>
    <w:basedOn w:val="21"/>
    <w:link w:val="13"/>
    <w:qFormat/>
    <w:uiPriority w:val="99"/>
    <w:rPr>
      <w:sz w:val="18"/>
      <w:szCs w:val="18"/>
    </w:rPr>
  </w:style>
  <w:style w:type="character" w:customStyle="1" w:styleId="26">
    <w:name w:val="批注文字 Char"/>
    <w:basedOn w:val="21"/>
    <w:link w:val="11"/>
    <w:qFormat/>
    <w:uiPriority w:val="99"/>
    <w:rPr>
      <w:rFonts w:ascii="Times New Roman" w:hAnsi="Times New Roman" w:eastAsia="Courier New" w:cs="Times New Roman"/>
      <w:szCs w:val="21"/>
    </w:rPr>
  </w:style>
  <w:style w:type="character" w:customStyle="1" w:styleId="27">
    <w:name w:val="批注主题 Char"/>
    <w:basedOn w:val="26"/>
    <w:link w:val="18"/>
    <w:semiHidden/>
    <w:qFormat/>
    <w:uiPriority w:val="99"/>
    <w:rPr>
      <w:rFonts w:ascii="Times New Roman" w:hAnsi="Times New Roman" w:eastAsia="Courier New" w:cs="Times New Roman"/>
      <w:b/>
      <w:bCs/>
      <w:szCs w:val="21"/>
    </w:rPr>
  </w:style>
  <w:style w:type="paragraph" w:customStyle="1" w:styleId="28">
    <w:name w:val="独立格式"/>
    <w:basedOn w:val="16"/>
    <w:qFormat/>
    <w:uiPriority w:val="1"/>
    <w:pPr>
      <w:spacing w:before="0" w:after="0" w:line="360" w:lineRule="auto"/>
      <w:outlineLvl w:val="9"/>
    </w:pPr>
    <w:rPr>
      <w:rFonts w:ascii="Times New Roman" w:hAnsi="Times New Roman" w:eastAsia="Tms Rmn" w:cs="Times New Roman"/>
      <w:b w:val="0"/>
      <w:bCs w:val="0"/>
      <w:kern w:val="2"/>
      <w:szCs w:val="52"/>
    </w:rPr>
  </w:style>
  <w:style w:type="character" w:customStyle="1" w:styleId="29">
    <w:name w:val="副标题 Char"/>
    <w:basedOn w:val="21"/>
    <w:link w:val="16"/>
    <w:qFormat/>
    <w:uiPriority w:val="11"/>
    <w:rPr>
      <w:b/>
      <w:bCs/>
      <w:kern w:val="28"/>
      <w:sz w:val="32"/>
      <w:szCs w:val="32"/>
    </w:rPr>
  </w:style>
  <w:style w:type="character" w:customStyle="1" w:styleId="30">
    <w:name w:val="标题 2 Char"/>
    <w:basedOn w:val="21"/>
    <w:link w:val="5"/>
    <w:qFormat/>
    <w:uiPriority w:val="9"/>
    <w:rPr>
      <w:rFonts w:ascii="Arial" w:hAnsi="Arial" w:eastAsia="Symbol" w:cs="Times New Roman"/>
      <w:b/>
      <w:bCs/>
      <w:sz w:val="32"/>
      <w:szCs w:val="32"/>
    </w:rPr>
  </w:style>
  <w:style w:type="paragraph" w:customStyle="1" w:styleId="31">
    <w:name w:val="表格名称"/>
    <w:basedOn w:val="1"/>
    <w:qFormat/>
    <w:uiPriority w:val="0"/>
    <w:pPr>
      <w:spacing w:line="360" w:lineRule="auto"/>
      <w:jc w:val="center"/>
    </w:pPr>
    <w:rPr>
      <w:rFonts w:eastAsia="Helv" w:cs="New York"/>
      <w:b/>
      <w:sz w:val="24"/>
      <w:szCs w:val="24"/>
    </w:rPr>
  </w:style>
  <w:style w:type="paragraph" w:customStyle="1" w:styleId="32">
    <w:name w:val="表格文字"/>
    <w:basedOn w:val="28"/>
    <w:next w:val="1"/>
    <w:qFormat/>
    <w:uiPriority w:val="0"/>
    <w:pPr>
      <w:spacing w:line="360" w:lineRule="exact"/>
    </w:pPr>
    <w:rPr>
      <w:rFonts w:eastAsia="Helv" w:cs="New York"/>
      <w:sz w:val="24"/>
    </w:rPr>
  </w:style>
  <w:style w:type="character" w:customStyle="1" w:styleId="33">
    <w:name w:val="标题 5 Char"/>
    <w:basedOn w:val="21"/>
    <w:link w:val="8"/>
    <w:semiHidden/>
    <w:qFormat/>
    <w:uiPriority w:val="9"/>
    <w:rPr>
      <w:rFonts w:ascii="Times New Roman" w:hAnsi="Times New Roman" w:eastAsia="Courier New" w:cs="Times New Roman"/>
      <w:b/>
      <w:bCs/>
      <w:sz w:val="28"/>
      <w:szCs w:val="28"/>
    </w:rPr>
  </w:style>
  <w:style w:type="character" w:customStyle="1" w:styleId="34">
    <w:name w:val="正文文本 Char"/>
    <w:basedOn w:val="21"/>
    <w:link w:val="10"/>
    <w:semiHidden/>
    <w:qFormat/>
    <w:uiPriority w:val="99"/>
    <w:rPr>
      <w:rFonts w:ascii="Times New Roman" w:hAnsi="Times New Roman" w:eastAsia="Courier New" w:cs="Times New Roman"/>
      <w:szCs w:val="21"/>
    </w:rPr>
  </w:style>
  <w:style w:type="character" w:customStyle="1" w:styleId="35">
    <w:name w:val="标题 4 Char"/>
    <w:basedOn w:val="21"/>
    <w:link w:val="7"/>
    <w:semiHidden/>
    <w:qFormat/>
    <w:uiPriority w:val="9"/>
    <w:rPr>
      <w:rFonts w:asciiTheme="majorHAnsi" w:hAnsiTheme="majorHAnsi" w:eastAsiaTheme="majorEastAsia" w:cstheme="majorBidi"/>
      <w:b/>
      <w:bCs/>
      <w:sz w:val="28"/>
      <w:szCs w:val="28"/>
    </w:rPr>
  </w:style>
  <w:style w:type="character" w:customStyle="1" w:styleId="36">
    <w:name w:val="批注框文本 Char"/>
    <w:basedOn w:val="21"/>
    <w:link w:val="12"/>
    <w:semiHidden/>
    <w:qFormat/>
    <w:uiPriority w:val="99"/>
    <w:rPr>
      <w:rFonts w:ascii="Times New Roman" w:hAnsi="Times New Roman" w:eastAsia="Courier New" w:cs="Times New Roman"/>
      <w:kern w:val="2"/>
      <w:sz w:val="18"/>
      <w:szCs w:val="18"/>
    </w:rPr>
  </w:style>
  <w:style w:type="table" w:customStyle="1" w:styleId="37">
    <w:name w:val="Table Normal"/>
    <w:semiHidden/>
    <w:unhideWhenUsed/>
    <w:qFormat/>
    <w:uiPriority w:val="2"/>
    <w:tblPr>
      <w:tblLayout w:type="fixed"/>
      <w:tblCellMar>
        <w:top w:w="0" w:type="dxa"/>
        <w:left w:w="0" w:type="dxa"/>
        <w:bottom w:w="0" w:type="dxa"/>
        <w:right w:w="0" w:type="dxa"/>
      </w:tblCellMar>
    </w:tblPr>
  </w:style>
  <w:style w:type="paragraph" w:styleId="38">
    <w:name w:val="List Paragraph"/>
    <w:basedOn w:val="1"/>
    <w:qFormat/>
    <w:uiPriority w:val="1"/>
    <w:pPr>
      <w:autoSpaceDE w:val="0"/>
      <w:autoSpaceDN w:val="0"/>
      <w:ind w:left="109" w:right="99" w:firstLine="641"/>
      <w:jc w:val="left"/>
    </w:pPr>
    <w:rPr>
      <w:rFonts w:ascii="Arial Unicode MS" w:hAnsi="Arial Unicode MS" w:eastAsia="Arial Unicode MS" w:cs="Arial Unicode MS"/>
      <w:kern w:val="0"/>
      <w:sz w:val="22"/>
      <w:szCs w:val="22"/>
      <w:lang w:eastAsia="en-US"/>
    </w:rPr>
  </w:style>
  <w:style w:type="paragraph" w:customStyle="1" w:styleId="39">
    <w:name w:val="Table Paragraph"/>
    <w:basedOn w:val="1"/>
    <w:qFormat/>
    <w:uiPriority w:val="1"/>
    <w:pPr>
      <w:autoSpaceDE w:val="0"/>
      <w:autoSpaceDN w:val="0"/>
      <w:jc w:val="left"/>
    </w:pPr>
    <w:rPr>
      <w:rFonts w:ascii="宋体" w:hAnsi="宋体" w:eastAsia="宋体" w:cs="宋体"/>
      <w:kern w:val="0"/>
      <w:sz w:val="22"/>
      <w:szCs w:val="22"/>
      <w:lang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收入预算</a:t>
            </a:r>
          </a:p>
        </c:rich>
      </c:tx>
      <c:layout/>
      <c:overlay val="0"/>
      <c:spPr>
        <a:noFill/>
        <a:ln>
          <a:noFill/>
        </a:ln>
        <a:effectLst/>
      </c:spPr>
    </c:title>
    <c:autoTitleDeleted val="0"/>
    <c:plotArea>
      <c:layout/>
      <c:pieChart>
        <c:varyColors val="1"/>
        <c:ser>
          <c:idx val="0"/>
          <c:order val="0"/>
          <c:tx>
            <c:strRef>
              <c:f>Sheet1!$B$1</c:f>
              <c:strCache>
                <c:ptCount val="1"/>
                <c:pt idx="0">
                  <c:v>销售额</c:v>
                </c:pt>
              </c:strCache>
            </c:strRef>
          </c:tx>
          <c:spPr/>
          <c:explosion val="0"/>
          <c:dPt>
            <c:idx val="0"/>
            <c:bubble3D val="0"/>
            <c:spPr>
              <a:solidFill>
                <a:schemeClr val="accent2"/>
              </a:solidFill>
              <a:ln w="19050">
                <a:solidFill>
                  <a:schemeClr val="lt1"/>
                </a:solidFill>
              </a:ln>
              <a:effectLst/>
            </c:spPr>
          </c:dPt>
          <c:dPt>
            <c:idx val="1"/>
            <c:bubble3D val="0"/>
            <c:spPr>
              <a:solidFill>
                <a:schemeClr val="accent4"/>
              </a:solidFill>
              <a:ln w="19050">
                <a:solidFill>
                  <a:schemeClr val="lt1"/>
                </a:solidFill>
              </a:ln>
              <a:effectLst/>
            </c:spPr>
          </c:dPt>
          <c:dPt>
            <c:idx val="2"/>
            <c:bubble3D val="0"/>
            <c:spPr>
              <a:solidFill>
                <a:schemeClr val="accent6"/>
              </a:solidFill>
              <a:ln w="19050">
                <a:solidFill>
                  <a:schemeClr val="lt1"/>
                </a:solidFill>
              </a:ln>
              <a:effectLst/>
            </c:spPr>
          </c:dPt>
          <c:dPt>
            <c:idx val="3"/>
            <c:bubble3D val="0"/>
            <c:spPr>
              <a:solidFill>
                <a:schemeClr val="accent2">
                  <a:lumMod val="60000"/>
                </a:schemeClr>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inEnd"/>
            <c:showLegendKey val="0"/>
            <c:showVal val="0"/>
            <c:showCatName val="1"/>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一般公共预算收入</c:v>
                </c:pt>
                <c:pt idx="1">
                  <c:v>事业收入</c:v>
                </c:pt>
              </c:strCache>
            </c:strRef>
          </c:cat>
          <c:val>
            <c:numRef>
              <c:f>Sheet1!$B$2:$B$5</c:f>
              <c:numCache>
                <c:formatCode>General</c:formatCode>
                <c:ptCount val="4"/>
                <c:pt idx="0">
                  <c:v>1122.2</c:v>
                </c:pt>
                <c:pt idx="1">
                  <c:v>1171.53</c:v>
                </c:pt>
              </c:numCache>
            </c:numRef>
          </c:val>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pieChart>
        <c:varyColors val="1"/>
        <c:ser>
          <c:idx val="0"/>
          <c:order val="0"/>
          <c:tx>
            <c:strRef>
              <c:f>Sheet1!$B$1</c:f>
              <c:strCache>
                <c:ptCount val="1"/>
                <c:pt idx="0">
                  <c:v>支出预算</c:v>
                </c:pt>
              </c:strCache>
            </c:strRef>
          </c:tx>
          <c:spPr/>
          <c:explosion val="0"/>
          <c:dPt>
            <c:idx val="0"/>
            <c:bubble3D val="0"/>
            <c:spPr>
              <a:solidFill>
                <a:schemeClr val="accent2"/>
              </a:solidFill>
              <a:ln w="19050">
                <a:solidFill>
                  <a:schemeClr val="lt1"/>
                </a:solidFill>
              </a:ln>
              <a:effectLst/>
            </c:spPr>
          </c:dPt>
          <c:dPt>
            <c:idx val="1"/>
            <c:bubble3D val="0"/>
            <c:spPr>
              <a:solidFill>
                <a:schemeClr val="accent4"/>
              </a:solidFill>
              <a:ln w="19050">
                <a:solidFill>
                  <a:schemeClr val="lt1"/>
                </a:solidFill>
              </a:ln>
              <a:effectLst/>
            </c:spPr>
          </c:dPt>
          <c:dPt>
            <c:idx val="2"/>
            <c:bubble3D val="0"/>
            <c:spPr>
              <a:solidFill>
                <a:schemeClr val="accent6"/>
              </a:solidFill>
              <a:ln w="19050">
                <a:solidFill>
                  <a:schemeClr val="lt1"/>
                </a:solidFill>
              </a:ln>
              <a:effectLst/>
            </c:spPr>
          </c:dPt>
          <c:dPt>
            <c:idx val="3"/>
            <c:bubble3D val="0"/>
            <c:spPr>
              <a:solidFill>
                <a:schemeClr val="accent2">
                  <a:lumMod val="60000"/>
                </a:schemeClr>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inEnd"/>
            <c:showLegendKey val="0"/>
            <c:showVal val="0"/>
            <c:showCatName val="1"/>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基本支出</c:v>
                </c:pt>
                <c:pt idx="1">
                  <c:v>项目支出</c:v>
                </c:pt>
              </c:strCache>
            </c:strRef>
          </c:cat>
          <c:val>
            <c:numRef>
              <c:f>Sheet1!$B$2:$B$5</c:f>
              <c:numCache>
                <c:formatCode>General</c:formatCode>
                <c:ptCount val="4"/>
                <c:pt idx="0">
                  <c:v>802.2</c:v>
                </c:pt>
                <c:pt idx="1">
                  <c:v>1491.53</c:v>
                </c:pt>
              </c:numCache>
            </c:numRef>
          </c:val>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62</Pages>
  <Words>5811</Words>
  <Characters>5874</Characters>
  <Lines>246</Lines>
  <Paragraphs>69</Paragraphs>
  <TotalTime>2</TotalTime>
  <ScaleCrop>false</ScaleCrop>
  <LinksUpToDate>false</LinksUpToDate>
  <CharactersWithSpaces>6016</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2021-11-01T08:43:00Z</dcterms:created>
  <dc:creator>Richard Meng</dc:creator>
  <cp:lastModifiedBy>Zhang99</cp:lastModifiedBy>
  <cp:lastPrinted>2023-01-16T08:04:00Z</cp:lastPrinted>
  <dcterms:modified xsi:type="dcterms:W3CDTF">2026-03-04T09:05:39Z</dcterms:modified>
  <cp:revision>1199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AD4C53D7C783485BA517193B0838AD99_13</vt:lpwstr>
  </property>
  <property fmtid="{D5CDD505-2E9C-101B-9397-08002B2CF9AE}" pid="4" name="KSOTemplateDocerSaveRecord">
    <vt:lpwstr>eyJoZGlkIjoiZjdiZjNjOTBkMDVlYjA3ZDdhY2ExNmY4ZWZiNGQ1NTIiLCJ1c2VySWQiOiIzMDM4Nzk3OTkifQ==</vt:lpwstr>
  </property>
</Properties>
</file>