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olors1.xml" ContentType="application/vnd.ms-office.chartcolorstyle+xml"/>
  <Override PartName="/word/charts/style1.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AD86B6F">
      <w:pPr>
        <w:spacing w:line="600" w:lineRule="exact"/>
        <w:jc w:val="left"/>
        <w:rPr>
          <w:rFonts w:ascii="Arial" w:hAnsi="Arial" w:eastAsia="Symbol"/>
          <w:b/>
          <w:bCs/>
          <w:sz w:val="32"/>
          <w:szCs w:val="32"/>
          <w:highlight w:val="none"/>
          <w:u w:val="none"/>
        </w:rPr>
      </w:pPr>
    </w:p>
    <w:p w14:paraId="5223F9AD">
      <w:pPr>
        <w:pStyle w:val="18"/>
        <w:rPr>
          <w:rFonts w:hint="default"/>
          <w:highlight w:val="none"/>
          <w:u w:val="none"/>
        </w:rPr>
      </w:pPr>
    </w:p>
    <w:p w14:paraId="549279CB">
      <w:pPr>
        <w:spacing w:line="600" w:lineRule="exact"/>
        <w:jc w:val="center"/>
        <w:rPr>
          <w:rFonts w:ascii="Arial" w:hAnsi="Arial" w:eastAsia="宋体"/>
          <w:b/>
          <w:bCs/>
          <w:sz w:val="32"/>
          <w:szCs w:val="32"/>
          <w:highlight w:val="none"/>
          <w:u w:val="none"/>
        </w:rPr>
      </w:pPr>
    </w:p>
    <w:p w14:paraId="110CB0E2">
      <w:pPr>
        <w:spacing w:line="600" w:lineRule="exact"/>
        <w:jc w:val="center"/>
        <w:rPr>
          <w:rFonts w:ascii="Arial" w:hAnsi="Arial" w:eastAsia="宋体"/>
          <w:b/>
          <w:bCs/>
          <w:sz w:val="32"/>
          <w:szCs w:val="32"/>
          <w:highlight w:val="none"/>
          <w:u w:val="none"/>
        </w:rPr>
      </w:pPr>
    </w:p>
    <w:p w14:paraId="4FB8BFB1">
      <w:pPr>
        <w:spacing w:line="600" w:lineRule="exact"/>
        <w:jc w:val="center"/>
        <w:rPr>
          <w:rFonts w:ascii="Arial" w:hAnsi="Arial" w:eastAsia="宋体"/>
          <w:b/>
          <w:bCs/>
          <w:sz w:val="32"/>
          <w:szCs w:val="32"/>
          <w:highlight w:val="none"/>
          <w:u w:val="none"/>
        </w:rPr>
      </w:pPr>
    </w:p>
    <w:p w14:paraId="495A8D6F">
      <w:pPr>
        <w:spacing w:line="600" w:lineRule="exact"/>
        <w:jc w:val="center"/>
        <w:rPr>
          <w:rFonts w:ascii="方正小标宋简体" w:hAnsi="方正小标宋简体" w:eastAsia="方正小标宋简体" w:cs="方正小标宋简体"/>
          <w:sz w:val="44"/>
          <w:szCs w:val="44"/>
          <w:highlight w:val="none"/>
          <w:u w:val="none"/>
        </w:rPr>
      </w:pPr>
      <w:r>
        <w:rPr>
          <w:rFonts w:hint="eastAsia" w:ascii="方正小标宋简体" w:hAnsi="方正小标宋简体" w:eastAsia="方正小标宋简体" w:cs="方正小标宋简体"/>
          <w:sz w:val="44"/>
          <w:szCs w:val="44"/>
          <w:highlight w:val="none"/>
          <w:u w:val="none"/>
          <w:lang w:val="en-US" w:eastAsia="zh-CN"/>
        </w:rPr>
        <w:t>2026</w:t>
      </w:r>
      <w:r>
        <w:rPr>
          <w:rFonts w:hint="eastAsia" w:ascii="方正小标宋简体" w:hAnsi="方正小标宋简体" w:eastAsia="方正小标宋简体" w:cs="方正小标宋简体"/>
          <w:sz w:val="44"/>
          <w:szCs w:val="44"/>
          <w:highlight w:val="none"/>
          <w:u w:val="none"/>
        </w:rPr>
        <w:t>年度</w:t>
      </w:r>
      <w:r>
        <w:rPr>
          <w:rFonts w:hint="eastAsia" w:ascii="方正小标宋简体" w:hAnsi="方正小标宋简体" w:eastAsia="方正小标宋简体" w:cs="方正小标宋简体"/>
          <w:sz w:val="44"/>
          <w:szCs w:val="44"/>
          <w:highlight w:val="none"/>
          <w:u w:val="none"/>
          <w:lang w:val="en-US" w:eastAsia="zh-CN"/>
        </w:rPr>
        <w:t>内蒙古自治区第四医院（内蒙古自治区胸科医院、内蒙古自治区公共卫生突发事件医疗救治中心）</w:t>
      </w:r>
      <w:r>
        <w:rPr>
          <w:rFonts w:hint="eastAsia" w:ascii="方正小标宋简体" w:hAnsi="方正小标宋简体" w:eastAsia="方正小标宋简体" w:cs="方正小标宋简体"/>
          <w:sz w:val="44"/>
          <w:szCs w:val="44"/>
          <w:highlight w:val="none"/>
          <w:u w:val="none"/>
        </w:rPr>
        <w:t>预算公开</w:t>
      </w:r>
    </w:p>
    <w:p w14:paraId="55EEF5B2">
      <w:pPr>
        <w:adjustRightInd w:val="0"/>
        <w:snapToGrid w:val="0"/>
        <w:spacing w:line="600" w:lineRule="exact"/>
        <w:ind w:firstLine="640"/>
        <w:rPr>
          <w:rFonts w:ascii="Times New Roman" w:hAnsi="Times New Roman" w:eastAsia="仿宋_GB2312"/>
          <w:sz w:val="32"/>
          <w:szCs w:val="32"/>
          <w:highlight w:val="none"/>
          <w:u w:val="none"/>
        </w:rPr>
      </w:pPr>
    </w:p>
    <w:p w14:paraId="0CDEABB7">
      <w:pPr>
        <w:adjustRightInd w:val="0"/>
        <w:snapToGrid w:val="0"/>
        <w:spacing w:line="600" w:lineRule="exact"/>
        <w:ind w:firstLine="640"/>
        <w:rPr>
          <w:rFonts w:ascii="Times New Roman" w:hAnsi="Times New Roman" w:eastAsia="仿宋_GB2312"/>
          <w:sz w:val="32"/>
          <w:szCs w:val="32"/>
          <w:highlight w:val="none"/>
          <w:u w:val="none"/>
        </w:rPr>
      </w:pPr>
    </w:p>
    <w:p w14:paraId="4C46D4D9">
      <w:pPr>
        <w:adjustRightInd w:val="0"/>
        <w:snapToGrid w:val="0"/>
        <w:spacing w:line="600" w:lineRule="exact"/>
        <w:ind w:firstLine="640"/>
        <w:rPr>
          <w:rFonts w:ascii="Times New Roman" w:hAnsi="Times New Roman" w:eastAsia="仿宋_GB2312"/>
          <w:sz w:val="32"/>
          <w:szCs w:val="32"/>
          <w:highlight w:val="none"/>
          <w:u w:val="none"/>
        </w:rPr>
      </w:pPr>
    </w:p>
    <w:p w14:paraId="4BE0D876">
      <w:pPr>
        <w:adjustRightInd w:val="0"/>
        <w:snapToGrid w:val="0"/>
        <w:spacing w:line="600" w:lineRule="exact"/>
        <w:ind w:firstLine="640"/>
        <w:rPr>
          <w:rFonts w:ascii="Times New Roman" w:hAnsi="Times New Roman" w:eastAsia="仿宋_GB2312"/>
          <w:sz w:val="32"/>
          <w:szCs w:val="32"/>
          <w:highlight w:val="none"/>
          <w:u w:val="none"/>
        </w:rPr>
      </w:pPr>
    </w:p>
    <w:p w14:paraId="3DE95F5C">
      <w:pPr>
        <w:adjustRightInd w:val="0"/>
        <w:snapToGrid w:val="0"/>
        <w:spacing w:line="600" w:lineRule="exact"/>
        <w:ind w:firstLine="640"/>
        <w:rPr>
          <w:rFonts w:ascii="Times New Roman" w:hAnsi="Times New Roman" w:eastAsia="仿宋_GB2312"/>
          <w:sz w:val="32"/>
          <w:szCs w:val="32"/>
          <w:highlight w:val="none"/>
          <w:u w:val="none"/>
        </w:rPr>
      </w:pPr>
    </w:p>
    <w:p w14:paraId="25C895E3">
      <w:pPr>
        <w:adjustRightInd w:val="0"/>
        <w:snapToGrid w:val="0"/>
        <w:spacing w:line="600" w:lineRule="exact"/>
        <w:ind w:firstLine="640"/>
        <w:rPr>
          <w:rFonts w:ascii="Times New Roman" w:hAnsi="Times New Roman" w:eastAsia="仿宋_GB2312"/>
          <w:sz w:val="32"/>
          <w:szCs w:val="32"/>
          <w:highlight w:val="none"/>
          <w:u w:val="none"/>
        </w:rPr>
      </w:pPr>
    </w:p>
    <w:p w14:paraId="2C44AA46">
      <w:pPr>
        <w:adjustRightInd w:val="0"/>
        <w:snapToGrid w:val="0"/>
        <w:spacing w:line="600" w:lineRule="exact"/>
        <w:ind w:firstLine="640"/>
        <w:rPr>
          <w:rFonts w:ascii="Times New Roman" w:hAnsi="Times New Roman" w:eastAsia="仿宋_GB2312"/>
          <w:sz w:val="32"/>
          <w:szCs w:val="32"/>
          <w:highlight w:val="none"/>
          <w:u w:val="none"/>
        </w:rPr>
      </w:pPr>
    </w:p>
    <w:p w14:paraId="76D5262F">
      <w:pPr>
        <w:adjustRightInd w:val="0"/>
        <w:snapToGrid w:val="0"/>
        <w:spacing w:line="600" w:lineRule="exact"/>
        <w:ind w:firstLine="640"/>
        <w:rPr>
          <w:rFonts w:ascii="Times New Roman" w:hAnsi="Times New Roman" w:eastAsia="仿宋_GB2312"/>
          <w:sz w:val="32"/>
          <w:szCs w:val="32"/>
          <w:highlight w:val="none"/>
          <w:u w:val="none"/>
        </w:rPr>
      </w:pPr>
    </w:p>
    <w:p w14:paraId="11DED7F9">
      <w:pPr>
        <w:adjustRightInd w:val="0"/>
        <w:snapToGrid w:val="0"/>
        <w:spacing w:line="600" w:lineRule="exact"/>
        <w:ind w:firstLine="640"/>
        <w:rPr>
          <w:rFonts w:ascii="Times New Roman" w:hAnsi="Times New Roman" w:eastAsia="仿宋_GB2312"/>
          <w:sz w:val="32"/>
          <w:szCs w:val="32"/>
          <w:highlight w:val="none"/>
          <w:u w:val="none"/>
        </w:rPr>
      </w:pPr>
    </w:p>
    <w:p w14:paraId="73BD0D1C">
      <w:pPr>
        <w:pStyle w:val="18"/>
        <w:spacing w:after="0" w:line="600" w:lineRule="exact"/>
        <w:ind w:left="0" w:leftChars="0" w:firstLine="0"/>
        <w:jc w:val="center"/>
        <w:rPr>
          <w:rFonts w:hint="default" w:ascii="黑体" w:hAnsi="黑体" w:eastAsia="黑体" w:cs="黑体"/>
          <w:highlight w:val="none"/>
          <w:u w:val="none"/>
        </w:rPr>
      </w:pPr>
      <w:r>
        <w:rPr>
          <w:rFonts w:ascii="黑体" w:hAnsi="黑体" w:eastAsia="黑体" w:cs="黑体"/>
          <w:sz w:val="32"/>
          <w:szCs w:val="32"/>
          <w:highlight w:val="none"/>
          <w:u w:val="none"/>
        </w:rPr>
        <w:t xml:space="preserve">批复时间： </w:t>
      </w:r>
      <w:r>
        <w:rPr>
          <w:rFonts w:hint="eastAsia" w:ascii="黑体" w:hAnsi="黑体" w:eastAsia="黑体" w:cs="黑体"/>
          <w:sz w:val="32"/>
          <w:szCs w:val="32"/>
          <w:highlight w:val="none"/>
          <w:u w:val="none"/>
          <w:lang w:val="en-US" w:eastAsia="zh-CN"/>
        </w:rPr>
        <w:t>2026</w:t>
      </w:r>
      <w:r>
        <w:rPr>
          <w:rFonts w:ascii="黑体" w:hAnsi="黑体" w:eastAsia="黑体" w:cs="黑体"/>
          <w:sz w:val="32"/>
          <w:szCs w:val="32"/>
          <w:highlight w:val="none"/>
          <w:u w:val="none"/>
        </w:rPr>
        <w:t xml:space="preserve"> 年  </w:t>
      </w:r>
      <w:r>
        <w:rPr>
          <w:rFonts w:hint="eastAsia" w:ascii="黑体" w:hAnsi="黑体" w:eastAsia="黑体" w:cs="黑体"/>
          <w:sz w:val="32"/>
          <w:szCs w:val="32"/>
          <w:highlight w:val="none"/>
          <w:u w:val="none"/>
          <w:lang w:val="en-US" w:eastAsia="zh-CN"/>
        </w:rPr>
        <w:t>02</w:t>
      </w:r>
      <w:r>
        <w:rPr>
          <w:rFonts w:ascii="黑体" w:hAnsi="黑体" w:eastAsia="黑体" w:cs="黑体"/>
          <w:sz w:val="32"/>
          <w:szCs w:val="32"/>
          <w:highlight w:val="none"/>
          <w:u w:val="none"/>
        </w:rPr>
        <w:t xml:space="preserve">  月 </w:t>
      </w:r>
      <w:r>
        <w:rPr>
          <w:rFonts w:hint="eastAsia" w:ascii="黑体" w:hAnsi="黑体" w:eastAsia="黑体" w:cs="黑体"/>
          <w:sz w:val="32"/>
          <w:szCs w:val="32"/>
          <w:highlight w:val="none"/>
          <w:u w:val="none"/>
          <w:lang w:val="en-US" w:eastAsia="zh-CN"/>
        </w:rPr>
        <w:t>24</w:t>
      </w:r>
      <w:r>
        <w:rPr>
          <w:rFonts w:ascii="黑体" w:hAnsi="黑体" w:eastAsia="黑体" w:cs="黑体"/>
          <w:sz w:val="32"/>
          <w:szCs w:val="32"/>
          <w:highlight w:val="none"/>
          <w:u w:val="none"/>
        </w:rPr>
        <w:t xml:space="preserve">  日</w:t>
      </w:r>
    </w:p>
    <w:p w14:paraId="79CD16CF">
      <w:pPr>
        <w:pStyle w:val="18"/>
        <w:spacing w:after="0" w:line="600" w:lineRule="exact"/>
        <w:ind w:left="0" w:leftChars="0" w:firstLine="0"/>
        <w:jc w:val="center"/>
        <w:rPr>
          <w:rFonts w:hint="default" w:ascii="黑体" w:hAnsi="黑体" w:eastAsia="黑体" w:cs="黑体"/>
          <w:highlight w:val="none"/>
          <w:u w:val="none"/>
        </w:rPr>
      </w:pPr>
      <w:r>
        <w:rPr>
          <w:rFonts w:ascii="黑体" w:hAnsi="黑体" w:eastAsia="黑体" w:cs="黑体"/>
          <w:sz w:val="32"/>
          <w:szCs w:val="32"/>
          <w:highlight w:val="none"/>
          <w:u w:val="none"/>
        </w:rPr>
        <w:t xml:space="preserve">公开时间： </w:t>
      </w:r>
      <w:r>
        <w:rPr>
          <w:rFonts w:hint="eastAsia" w:ascii="黑体" w:hAnsi="黑体" w:eastAsia="黑体" w:cs="黑体"/>
          <w:sz w:val="32"/>
          <w:szCs w:val="32"/>
          <w:highlight w:val="none"/>
          <w:u w:val="none"/>
          <w:lang w:val="en-US" w:eastAsia="zh-CN"/>
        </w:rPr>
        <w:t>2026</w:t>
      </w:r>
      <w:r>
        <w:rPr>
          <w:rFonts w:ascii="黑体" w:hAnsi="黑体" w:eastAsia="黑体" w:cs="黑体"/>
          <w:sz w:val="32"/>
          <w:szCs w:val="32"/>
          <w:highlight w:val="none"/>
          <w:u w:val="none"/>
        </w:rPr>
        <w:t xml:space="preserve"> 年  </w:t>
      </w:r>
      <w:r>
        <w:rPr>
          <w:rFonts w:hint="eastAsia" w:ascii="黑体" w:hAnsi="黑体" w:eastAsia="黑体" w:cs="黑体"/>
          <w:sz w:val="32"/>
          <w:szCs w:val="32"/>
          <w:highlight w:val="none"/>
          <w:u w:val="none"/>
          <w:lang w:val="en-US" w:eastAsia="zh-CN"/>
        </w:rPr>
        <w:t>03</w:t>
      </w:r>
      <w:r>
        <w:rPr>
          <w:rFonts w:ascii="黑体" w:hAnsi="黑体" w:eastAsia="黑体" w:cs="黑体"/>
          <w:sz w:val="32"/>
          <w:szCs w:val="32"/>
          <w:highlight w:val="none"/>
          <w:u w:val="none"/>
        </w:rPr>
        <w:t xml:space="preserve">  月 </w:t>
      </w:r>
      <w:r>
        <w:rPr>
          <w:rFonts w:hint="eastAsia" w:ascii="黑体" w:hAnsi="黑体" w:eastAsia="黑体" w:cs="黑体"/>
          <w:sz w:val="32"/>
          <w:szCs w:val="32"/>
          <w:highlight w:val="none"/>
          <w:u w:val="none"/>
          <w:lang w:val="en-US" w:eastAsia="zh-CN"/>
        </w:rPr>
        <w:t>12</w:t>
      </w:r>
      <w:r>
        <w:rPr>
          <w:rFonts w:ascii="黑体" w:hAnsi="黑体" w:eastAsia="黑体" w:cs="黑体"/>
          <w:sz w:val="32"/>
          <w:szCs w:val="32"/>
          <w:highlight w:val="none"/>
          <w:u w:val="none"/>
        </w:rPr>
        <w:t xml:space="preserve">  日</w:t>
      </w:r>
    </w:p>
    <w:p w14:paraId="59EB97B6">
      <w:pPr>
        <w:adjustRightInd w:val="0"/>
        <w:snapToGrid w:val="0"/>
        <w:spacing w:line="600" w:lineRule="exact"/>
        <w:ind w:firstLine="640"/>
        <w:rPr>
          <w:rFonts w:ascii="Times New Roman" w:hAnsi="Times New Roman" w:eastAsia="仿宋_GB2312"/>
          <w:sz w:val="32"/>
          <w:szCs w:val="32"/>
          <w:highlight w:val="none"/>
          <w:u w:val="none"/>
        </w:rPr>
      </w:pPr>
      <w:bookmarkStart w:id="4" w:name="_GoBack"/>
      <w:bookmarkEnd w:id="4"/>
    </w:p>
    <w:p w14:paraId="225DDA1A">
      <w:pPr>
        <w:pageBreakBefore/>
        <w:tabs>
          <w:tab w:val="left" w:pos="4533"/>
        </w:tabs>
        <w:adjustRightInd w:val="0"/>
        <w:snapToGrid w:val="0"/>
        <w:spacing w:line="600" w:lineRule="exact"/>
        <w:jc w:val="center"/>
        <w:rPr>
          <w:sz w:val="44"/>
          <w:szCs w:val="44"/>
          <w:highlight w:val="none"/>
          <w:u w:val="none"/>
        </w:rPr>
      </w:pPr>
      <w:r>
        <w:rPr>
          <w:sz w:val="44"/>
          <w:szCs w:val="44"/>
          <w:highlight w:val="none"/>
          <w:u w:val="none"/>
        </w:rPr>
        <w:t>目</w:t>
      </w:r>
      <w:r>
        <w:rPr>
          <w:rFonts w:hint="eastAsia" w:eastAsia="宋体"/>
          <w:sz w:val="44"/>
          <w:szCs w:val="44"/>
          <w:highlight w:val="none"/>
          <w:u w:val="none"/>
        </w:rPr>
        <w:t xml:space="preserve">  </w:t>
      </w:r>
      <w:r>
        <w:rPr>
          <w:rFonts w:hint="eastAsia"/>
          <w:sz w:val="44"/>
          <w:szCs w:val="44"/>
          <w:highlight w:val="none"/>
          <w:u w:val="none"/>
        </w:rPr>
        <w:t xml:space="preserve">  </w:t>
      </w:r>
      <w:r>
        <w:rPr>
          <w:sz w:val="44"/>
          <w:szCs w:val="44"/>
          <w:highlight w:val="none"/>
          <w:u w:val="none"/>
        </w:rPr>
        <w:t>录</w:t>
      </w:r>
    </w:p>
    <w:p w14:paraId="0B082A65">
      <w:pPr>
        <w:rPr>
          <w:highlight w:val="none"/>
          <w:u w:val="none"/>
        </w:rPr>
      </w:pPr>
    </w:p>
    <w:p w14:paraId="5D9A3CFF">
      <w:pPr>
        <w:pStyle w:val="8"/>
        <w:spacing w:after="0" w:line="600" w:lineRule="exact"/>
        <w:rPr>
          <w:rFonts w:ascii="黑体" w:hAnsi="黑体" w:eastAsia="黑体" w:cs="黑体"/>
          <w:sz w:val="32"/>
          <w:szCs w:val="32"/>
          <w:highlight w:val="none"/>
          <w:u w:val="none"/>
        </w:rPr>
      </w:pPr>
      <w:r>
        <w:rPr>
          <w:rFonts w:hint="eastAsia" w:ascii="黑体" w:hAnsi="黑体" w:eastAsia="黑体" w:cs="黑体"/>
          <w:sz w:val="32"/>
          <w:szCs w:val="32"/>
          <w:highlight w:val="none"/>
          <w:u w:val="none"/>
        </w:rPr>
        <w:t>第一部分 单位概况</w:t>
      </w:r>
    </w:p>
    <w:p w14:paraId="7B887465">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w w:val="95"/>
          <w:sz w:val="32"/>
          <w:szCs w:val="32"/>
          <w:highlight w:val="none"/>
          <w:u w:val="none"/>
        </w:rPr>
        <w:t>一、主要职能、职责</w:t>
      </w:r>
    </w:p>
    <w:p w14:paraId="22B8AD2E">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sz w:val="32"/>
          <w:szCs w:val="32"/>
          <w:highlight w:val="none"/>
          <w:u w:val="none"/>
        </w:rPr>
        <w:t>二、单位机构设置及预算单位构成情况</w:t>
      </w:r>
    </w:p>
    <w:p w14:paraId="318D0A7B">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sz w:val="32"/>
          <w:szCs w:val="32"/>
          <w:highlight w:val="none"/>
          <w:u w:val="none"/>
        </w:rPr>
        <w:t>三、</w:t>
      </w:r>
      <w:r>
        <w:rPr>
          <w:rFonts w:hint="eastAsia" w:ascii="仿宋_GB2312" w:hAnsi="仿宋_GB2312" w:eastAsia="仿宋_GB2312" w:cs="仿宋"/>
          <w:sz w:val="32"/>
          <w:szCs w:val="32"/>
          <w:highlight w:val="none"/>
          <w:u w:val="none"/>
          <w:lang w:val="en-US" w:eastAsia="zh-CN"/>
        </w:rPr>
        <w:t>2026</w:t>
      </w:r>
      <w:r>
        <w:rPr>
          <w:rFonts w:hint="eastAsia" w:ascii="Times New Roman" w:hAnsi="Times New Roman" w:eastAsia="仿宋_GB2312" w:cs="仿宋"/>
          <w:sz w:val="32"/>
          <w:szCs w:val="32"/>
          <w:highlight w:val="none"/>
          <w:u w:val="none"/>
        </w:rPr>
        <w:t>年度单位主要工作任务及目标</w:t>
      </w:r>
    </w:p>
    <w:p w14:paraId="50302C36">
      <w:pPr>
        <w:pStyle w:val="8"/>
        <w:spacing w:after="0" w:line="600" w:lineRule="exact"/>
        <w:rPr>
          <w:rFonts w:ascii="黑体" w:hAnsi="黑体" w:eastAsia="黑体" w:cs="黑体"/>
          <w:sz w:val="32"/>
          <w:szCs w:val="32"/>
          <w:highlight w:val="none"/>
          <w:u w:val="none"/>
        </w:rPr>
      </w:pPr>
      <w:r>
        <w:rPr>
          <w:rFonts w:hint="eastAsia" w:ascii="黑体" w:hAnsi="黑体" w:eastAsia="黑体" w:cs="黑体"/>
          <w:sz w:val="32"/>
          <w:szCs w:val="32"/>
          <w:highlight w:val="none"/>
          <w:u w:val="none"/>
        </w:rPr>
        <w:t xml:space="preserve">第二部分 </w:t>
      </w:r>
      <w:r>
        <w:rPr>
          <w:rFonts w:hint="eastAsia" w:ascii="黑体" w:hAnsi="黑体" w:eastAsia="黑体" w:cs="黑体"/>
          <w:sz w:val="32"/>
          <w:szCs w:val="32"/>
          <w:highlight w:val="none"/>
          <w:u w:val="none"/>
          <w:lang w:val="en-US" w:eastAsia="zh-CN"/>
        </w:rPr>
        <w:t>2026</w:t>
      </w:r>
      <w:r>
        <w:rPr>
          <w:rFonts w:hint="eastAsia" w:ascii="黑体" w:hAnsi="黑体" w:eastAsia="黑体" w:cs="黑体"/>
          <w:sz w:val="32"/>
          <w:szCs w:val="32"/>
          <w:highlight w:val="none"/>
          <w:u w:val="none"/>
        </w:rPr>
        <w:t>年度单位预算情况说明</w:t>
      </w:r>
    </w:p>
    <w:p w14:paraId="5E241EC1">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sz w:val="32"/>
          <w:szCs w:val="32"/>
          <w:highlight w:val="none"/>
          <w:u w:val="none"/>
        </w:rPr>
        <w:t>一、收支预算总体情况说明</w:t>
      </w:r>
    </w:p>
    <w:p w14:paraId="4913B5B8">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sz w:val="32"/>
          <w:szCs w:val="32"/>
          <w:highlight w:val="none"/>
          <w:u w:val="none"/>
        </w:rPr>
        <w:t>二、收入预算情况说明</w:t>
      </w:r>
    </w:p>
    <w:p w14:paraId="74BE2D50">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sz w:val="32"/>
          <w:szCs w:val="32"/>
          <w:highlight w:val="none"/>
          <w:u w:val="none"/>
        </w:rPr>
        <w:t>三、支出预算情况说明</w:t>
      </w:r>
    </w:p>
    <w:p w14:paraId="5912FA5E">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sz w:val="32"/>
          <w:szCs w:val="32"/>
          <w:highlight w:val="none"/>
          <w:u w:val="none"/>
        </w:rPr>
        <w:t>四、财政拨款收支预算总体情况说明</w:t>
      </w:r>
    </w:p>
    <w:p w14:paraId="5AC9F94C">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sz w:val="32"/>
          <w:szCs w:val="32"/>
          <w:highlight w:val="none"/>
          <w:u w:val="none"/>
        </w:rPr>
        <w:t>五、一般公共预算支出预算情况说明</w:t>
      </w:r>
    </w:p>
    <w:p w14:paraId="1F708374">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sz w:val="32"/>
          <w:szCs w:val="32"/>
          <w:highlight w:val="none"/>
          <w:u w:val="none"/>
        </w:rPr>
        <w:t>六、一般公共预算基本支出预算情况说明</w:t>
      </w:r>
    </w:p>
    <w:p w14:paraId="4D90C204">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sz w:val="32"/>
          <w:szCs w:val="32"/>
          <w:highlight w:val="none"/>
          <w:u w:val="none"/>
        </w:rPr>
        <w:t>七、一般公共预算“三公”经费支出预算情况说明</w:t>
      </w:r>
    </w:p>
    <w:p w14:paraId="07EFFF92">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sz w:val="32"/>
          <w:szCs w:val="32"/>
          <w:highlight w:val="none"/>
          <w:u w:val="none"/>
        </w:rPr>
        <w:t>八、政府性基金预算支出预算情况说明</w:t>
      </w:r>
    </w:p>
    <w:p w14:paraId="5223A3D8">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sz w:val="32"/>
          <w:szCs w:val="32"/>
          <w:highlight w:val="none"/>
          <w:u w:val="none"/>
        </w:rPr>
        <w:t>九、国有资本经营预算支出预算情况说明</w:t>
      </w:r>
    </w:p>
    <w:p w14:paraId="452E69C9">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sz w:val="32"/>
          <w:szCs w:val="32"/>
          <w:highlight w:val="none"/>
          <w:u w:val="none"/>
        </w:rPr>
        <w:t>十、项目支出预算情况说明</w:t>
      </w:r>
    </w:p>
    <w:p w14:paraId="19F094B5">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sz w:val="32"/>
          <w:szCs w:val="32"/>
          <w:highlight w:val="none"/>
          <w:u w:val="none"/>
        </w:rPr>
        <w:t>十一、</w:t>
      </w:r>
      <w:r>
        <w:rPr>
          <w:rFonts w:hint="eastAsia" w:ascii="Times New Roman" w:hAnsi="Times New Roman" w:eastAsia="仿宋_GB2312" w:cs="仿宋"/>
          <w:sz w:val="32"/>
          <w:szCs w:val="32"/>
          <w:highlight w:val="none"/>
          <w:u w:val="none"/>
          <w:lang w:val="en-US" w:eastAsia="zh-CN"/>
        </w:rPr>
        <w:t>机构</w:t>
      </w:r>
      <w:r>
        <w:rPr>
          <w:rFonts w:hint="eastAsia" w:ascii="Times New Roman" w:hAnsi="Times New Roman" w:eastAsia="仿宋_GB2312" w:cs="仿宋"/>
          <w:sz w:val="32"/>
          <w:szCs w:val="32"/>
          <w:highlight w:val="none"/>
          <w:u w:val="none"/>
        </w:rPr>
        <w:t>运行经费支出预算情况说明</w:t>
      </w:r>
    </w:p>
    <w:p w14:paraId="1146B27B">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sz w:val="32"/>
          <w:szCs w:val="32"/>
          <w:highlight w:val="none"/>
          <w:u w:val="none"/>
        </w:rPr>
        <w:t>十二、政府采购支出预算情况说明</w:t>
      </w:r>
    </w:p>
    <w:p w14:paraId="749D1290">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sz w:val="32"/>
          <w:szCs w:val="32"/>
          <w:highlight w:val="none"/>
          <w:u w:val="none"/>
        </w:rPr>
        <w:t>十三、国有资产占用情况说明</w:t>
      </w:r>
    </w:p>
    <w:p w14:paraId="3A8341D8">
      <w:pPr>
        <w:widowControl/>
        <w:spacing w:line="600" w:lineRule="exact"/>
        <w:jc w:val="left"/>
        <w:rPr>
          <w:rFonts w:ascii="Times New Roman" w:hAnsi="Times New Roman" w:eastAsia="仿宋_GB2312" w:cs="仿宋"/>
          <w:sz w:val="32"/>
          <w:szCs w:val="32"/>
          <w:highlight w:val="none"/>
          <w:u w:val="none"/>
        </w:rPr>
      </w:pPr>
      <w:r>
        <w:rPr>
          <w:rFonts w:hint="eastAsia" w:ascii="Times New Roman" w:hAnsi="Times New Roman" w:eastAsia="仿宋_GB2312" w:cs="仿宋"/>
          <w:sz w:val="32"/>
          <w:szCs w:val="32"/>
          <w:highlight w:val="none"/>
          <w:u w:val="none"/>
        </w:rPr>
        <w:t xml:space="preserve">十四、项目绩效目标情况说明 </w:t>
      </w:r>
    </w:p>
    <w:p w14:paraId="24357E3E">
      <w:pPr>
        <w:pStyle w:val="8"/>
        <w:spacing w:after="0" w:line="600" w:lineRule="exact"/>
        <w:rPr>
          <w:rFonts w:ascii="黑体" w:hAnsi="黑体" w:eastAsia="黑体" w:cs="黑体"/>
          <w:sz w:val="32"/>
          <w:szCs w:val="32"/>
          <w:highlight w:val="none"/>
          <w:u w:val="none"/>
        </w:rPr>
      </w:pPr>
      <w:r>
        <w:rPr>
          <w:rFonts w:hint="eastAsia" w:ascii="黑体" w:hAnsi="黑体" w:eastAsia="黑体" w:cs="黑体"/>
          <w:sz w:val="32"/>
          <w:szCs w:val="32"/>
          <w:highlight w:val="none"/>
          <w:u w:val="none"/>
        </w:rPr>
        <w:t>第三部分 名词解释</w:t>
      </w:r>
    </w:p>
    <w:p w14:paraId="1F190B22">
      <w:pPr>
        <w:pStyle w:val="8"/>
        <w:spacing w:after="0" w:line="600" w:lineRule="exact"/>
        <w:rPr>
          <w:rFonts w:ascii="黑体" w:hAnsi="黑体" w:eastAsia="黑体" w:cs="黑体"/>
          <w:sz w:val="32"/>
          <w:szCs w:val="32"/>
          <w:highlight w:val="none"/>
          <w:u w:val="none"/>
        </w:rPr>
      </w:pPr>
      <w:r>
        <w:rPr>
          <w:rFonts w:hint="eastAsia" w:ascii="黑体" w:hAnsi="黑体" w:eastAsia="黑体" w:cs="黑体"/>
          <w:sz w:val="32"/>
          <w:szCs w:val="32"/>
          <w:highlight w:val="none"/>
          <w:u w:val="none"/>
        </w:rPr>
        <w:t>第四部分 预算公开联系方式及信息反馈渠道</w:t>
      </w:r>
    </w:p>
    <w:p w14:paraId="04634CCD">
      <w:pPr>
        <w:pStyle w:val="8"/>
        <w:spacing w:after="0" w:line="600" w:lineRule="exact"/>
        <w:rPr>
          <w:rFonts w:ascii="黑体" w:hAnsi="黑体" w:eastAsia="黑体" w:cs="黑体"/>
          <w:sz w:val="32"/>
          <w:szCs w:val="32"/>
          <w:highlight w:val="none"/>
          <w:u w:val="none"/>
        </w:rPr>
      </w:pPr>
      <w:r>
        <w:rPr>
          <w:rFonts w:hint="eastAsia" w:ascii="黑体" w:hAnsi="黑体" w:eastAsia="黑体" w:cs="黑体"/>
          <w:sz w:val="32"/>
          <w:szCs w:val="32"/>
          <w:highlight w:val="none"/>
          <w:u w:val="none"/>
        </w:rPr>
        <w:t>第五部分</w:t>
      </w:r>
      <w:r>
        <w:rPr>
          <w:rFonts w:hint="eastAsia" w:ascii="黑体" w:hAnsi="黑体" w:eastAsia="黑体" w:cs="黑体"/>
          <w:sz w:val="32"/>
          <w:szCs w:val="32"/>
          <w:highlight w:val="none"/>
          <w:u w:val="none"/>
          <w:lang w:val="en-US" w:eastAsia="zh-CN"/>
        </w:rPr>
        <w:t>2026</w:t>
      </w:r>
      <w:r>
        <w:rPr>
          <w:rFonts w:hint="eastAsia" w:ascii="黑体" w:hAnsi="黑体" w:eastAsia="黑体" w:cs="黑体"/>
          <w:sz w:val="32"/>
          <w:szCs w:val="32"/>
          <w:highlight w:val="none"/>
          <w:u w:val="none"/>
        </w:rPr>
        <w:t>年度部门单位预算表</w:t>
      </w:r>
    </w:p>
    <w:p w14:paraId="221972AE">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sz w:val="32"/>
          <w:szCs w:val="32"/>
          <w:highlight w:val="none"/>
          <w:u w:val="none"/>
        </w:rPr>
        <w:t>一、收支总表</w:t>
      </w:r>
    </w:p>
    <w:p w14:paraId="58106F22">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sz w:val="32"/>
          <w:szCs w:val="32"/>
          <w:highlight w:val="none"/>
          <w:u w:val="none"/>
        </w:rPr>
        <w:t>二、收入总表</w:t>
      </w:r>
    </w:p>
    <w:p w14:paraId="1EC46A85">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w w:val="95"/>
          <w:sz w:val="32"/>
          <w:szCs w:val="32"/>
          <w:highlight w:val="none"/>
          <w:u w:val="none"/>
        </w:rPr>
        <w:t>三、支出总表</w:t>
      </w:r>
    </w:p>
    <w:p w14:paraId="799A2765">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w w:val="95"/>
          <w:sz w:val="32"/>
          <w:szCs w:val="32"/>
          <w:highlight w:val="none"/>
          <w:u w:val="none"/>
        </w:rPr>
        <w:t>四、财政拨款收支总表</w:t>
      </w:r>
    </w:p>
    <w:p w14:paraId="7D77084E">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w w:val="95"/>
          <w:sz w:val="32"/>
          <w:szCs w:val="32"/>
          <w:highlight w:val="none"/>
          <w:u w:val="none"/>
        </w:rPr>
        <w:t>五、一般公共预算支出表</w:t>
      </w:r>
    </w:p>
    <w:p w14:paraId="358BF5DA">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w w:val="95"/>
          <w:sz w:val="32"/>
          <w:szCs w:val="32"/>
          <w:highlight w:val="none"/>
          <w:u w:val="none"/>
        </w:rPr>
        <w:t>六、一般公共预算基本支出表</w:t>
      </w:r>
    </w:p>
    <w:p w14:paraId="33D9BD52">
      <w:pPr>
        <w:pStyle w:val="8"/>
        <w:spacing w:after="0" w:line="600" w:lineRule="exact"/>
        <w:rPr>
          <w:rFonts w:ascii="Times New Roman" w:hAnsi="Times New Roman" w:eastAsia="仿宋_GB2312" w:cs="仿宋"/>
          <w:spacing w:val="-16"/>
          <w:w w:val="95"/>
          <w:sz w:val="32"/>
          <w:szCs w:val="32"/>
          <w:highlight w:val="none"/>
          <w:u w:val="none"/>
        </w:rPr>
      </w:pPr>
      <w:r>
        <w:rPr>
          <w:rFonts w:hint="eastAsia" w:ascii="Times New Roman" w:hAnsi="Times New Roman" w:eastAsia="仿宋_GB2312" w:cs="仿宋"/>
          <w:spacing w:val="-17"/>
          <w:w w:val="95"/>
          <w:sz w:val="32"/>
          <w:szCs w:val="32"/>
          <w:highlight w:val="none"/>
          <w:u w:val="none"/>
        </w:rPr>
        <w:t>七、一般公共预算</w:t>
      </w:r>
      <w:r>
        <w:rPr>
          <w:rFonts w:hint="eastAsia" w:ascii="Times New Roman" w:hAnsi="Times New Roman" w:eastAsia="仿宋_GB2312" w:cs="仿宋"/>
          <w:spacing w:val="-8"/>
          <w:w w:val="95"/>
          <w:sz w:val="32"/>
          <w:szCs w:val="32"/>
          <w:highlight w:val="none"/>
          <w:u w:val="none"/>
        </w:rPr>
        <w:t>“</w:t>
      </w:r>
      <w:r>
        <w:rPr>
          <w:rFonts w:hint="eastAsia" w:ascii="Times New Roman" w:hAnsi="Times New Roman" w:eastAsia="仿宋_GB2312" w:cs="仿宋"/>
          <w:spacing w:val="-15"/>
          <w:w w:val="95"/>
          <w:sz w:val="32"/>
          <w:szCs w:val="32"/>
          <w:highlight w:val="none"/>
          <w:u w:val="none"/>
        </w:rPr>
        <w:t>三公</w:t>
      </w:r>
      <w:r>
        <w:rPr>
          <w:rFonts w:hint="eastAsia" w:ascii="Times New Roman" w:hAnsi="Times New Roman" w:eastAsia="仿宋_GB2312" w:cs="仿宋"/>
          <w:spacing w:val="-10"/>
          <w:w w:val="95"/>
          <w:sz w:val="32"/>
          <w:szCs w:val="32"/>
          <w:highlight w:val="none"/>
          <w:u w:val="none"/>
        </w:rPr>
        <w:t>”</w:t>
      </w:r>
      <w:r>
        <w:rPr>
          <w:rFonts w:hint="eastAsia" w:ascii="Times New Roman" w:hAnsi="Times New Roman" w:eastAsia="仿宋_GB2312" w:cs="仿宋"/>
          <w:spacing w:val="-16"/>
          <w:w w:val="95"/>
          <w:sz w:val="32"/>
          <w:szCs w:val="32"/>
          <w:highlight w:val="none"/>
          <w:u w:val="none"/>
        </w:rPr>
        <w:t>经费支出表</w:t>
      </w:r>
    </w:p>
    <w:p w14:paraId="31ED0E83">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spacing w:val="-16"/>
          <w:w w:val="95"/>
          <w:sz w:val="32"/>
          <w:szCs w:val="32"/>
          <w:highlight w:val="none"/>
          <w:u w:val="none"/>
        </w:rPr>
        <w:t>八、政府性基金预算支出表</w:t>
      </w:r>
    </w:p>
    <w:p w14:paraId="75CAFDC0">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sz w:val="32"/>
          <w:szCs w:val="32"/>
          <w:highlight w:val="none"/>
          <w:u w:val="none"/>
        </w:rPr>
        <w:t>九、国有资本经营预算支出表</w:t>
      </w:r>
    </w:p>
    <w:p w14:paraId="4CE0C9B0">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sz w:val="32"/>
          <w:szCs w:val="32"/>
          <w:highlight w:val="none"/>
          <w:u w:val="none"/>
        </w:rPr>
        <w:t>十、项目支出表</w:t>
      </w:r>
    </w:p>
    <w:p w14:paraId="7540BA7A">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sz w:val="32"/>
          <w:szCs w:val="32"/>
          <w:highlight w:val="none"/>
          <w:u w:val="none"/>
        </w:rPr>
        <w:t>十一、项目绩效目标表</w:t>
      </w:r>
    </w:p>
    <w:p w14:paraId="5F580240">
      <w:pPr>
        <w:pStyle w:val="8"/>
        <w:spacing w:after="0" w:line="600" w:lineRule="exact"/>
        <w:rPr>
          <w:rFonts w:ascii="Times New Roman" w:hAnsi="Times New Roman" w:eastAsia="仿宋_GB2312" w:cs="仿宋"/>
          <w:sz w:val="32"/>
          <w:szCs w:val="32"/>
          <w:highlight w:val="none"/>
          <w:u w:val="none"/>
        </w:rPr>
      </w:pPr>
      <w:r>
        <w:rPr>
          <w:rFonts w:hint="eastAsia" w:ascii="Times New Roman" w:hAnsi="Times New Roman" w:eastAsia="仿宋_GB2312" w:cs="仿宋"/>
          <w:w w:val="95"/>
          <w:sz w:val="32"/>
          <w:szCs w:val="32"/>
          <w:highlight w:val="none"/>
          <w:u w:val="none"/>
        </w:rPr>
        <w:t>十二、政府采购预算表</w:t>
      </w:r>
    </w:p>
    <w:p w14:paraId="3472749E">
      <w:pPr>
        <w:pStyle w:val="18"/>
        <w:rPr>
          <w:rFonts w:hint="default"/>
          <w:highlight w:val="none"/>
          <w:u w:val="none"/>
        </w:rPr>
      </w:pPr>
    </w:p>
    <w:p w14:paraId="2685B712">
      <w:pPr>
        <w:pStyle w:val="18"/>
        <w:rPr>
          <w:rFonts w:hint="default"/>
          <w:highlight w:val="none"/>
          <w:u w:val="none"/>
        </w:rPr>
        <w:sectPr>
          <w:headerReference r:id="rId3" w:type="default"/>
          <w:footerReference r:id="rId4" w:type="default"/>
          <w:pgSz w:w="11910" w:h="16840"/>
          <w:pgMar w:top="1582" w:right="1680" w:bottom="278" w:left="1640" w:header="720" w:footer="720" w:gutter="0"/>
          <w:pgNumType w:fmt="numberInDash"/>
          <w:cols w:space="0" w:num="1"/>
        </w:sectPr>
      </w:pPr>
    </w:p>
    <w:p w14:paraId="71BA44E9">
      <w:pPr>
        <w:pStyle w:val="3"/>
        <w:tabs>
          <w:tab w:val="left" w:pos="4392"/>
        </w:tabs>
        <w:adjustRightInd/>
        <w:snapToGrid/>
        <w:spacing w:before="0" w:after="0" w:line="600" w:lineRule="exact"/>
        <w:ind w:firstLine="0" w:firstLineChars="0"/>
        <w:jc w:val="center"/>
        <w:rPr>
          <w:rFonts w:ascii="方正小标宋简体" w:hAnsi="方正小标宋简体" w:eastAsia="方正小标宋简体" w:cs="方正小标宋简体"/>
          <w:b w:val="0"/>
          <w:bCs w:val="0"/>
          <w:sz w:val="36"/>
          <w:szCs w:val="36"/>
          <w:highlight w:val="none"/>
          <w:u w:val="none"/>
        </w:rPr>
      </w:pPr>
      <w:bookmarkStart w:id="0" w:name="_Toc30742"/>
      <w:r>
        <w:rPr>
          <w:rFonts w:hint="eastAsia" w:ascii="方正小标宋简体" w:hAnsi="方正小标宋简体" w:eastAsia="方正小标宋简体" w:cs="方正小标宋简体"/>
          <w:b w:val="0"/>
          <w:bCs w:val="0"/>
          <w:sz w:val="36"/>
          <w:szCs w:val="36"/>
          <w:highlight w:val="none"/>
          <w:u w:val="none"/>
        </w:rPr>
        <w:t>第一部分  单位概况</w:t>
      </w:r>
      <w:bookmarkEnd w:id="0"/>
    </w:p>
    <w:p w14:paraId="4EC5F495">
      <w:pPr>
        <w:spacing w:line="600" w:lineRule="exact"/>
        <w:rPr>
          <w:rFonts w:ascii="方正小标宋简体" w:hAnsi="方正小标宋简体" w:eastAsia="方正小标宋简体" w:cs="方正小标宋简体"/>
          <w:sz w:val="36"/>
          <w:szCs w:val="36"/>
          <w:highlight w:val="none"/>
          <w:u w:val="none"/>
        </w:rPr>
      </w:pPr>
    </w:p>
    <w:p w14:paraId="5BE15C30">
      <w:pPr>
        <w:numPr>
          <w:ilvl w:val="0"/>
          <w:numId w:val="1"/>
        </w:numPr>
        <w:spacing w:line="600" w:lineRule="exact"/>
        <w:ind w:left="17" w:leftChars="8" w:firstLine="624" w:firstLineChars="195"/>
        <w:outlineLvl w:val="2"/>
        <w:rPr>
          <w:rFonts w:eastAsia="黑体" w:cs="黑体"/>
          <w:sz w:val="32"/>
          <w:szCs w:val="36"/>
          <w:highlight w:val="none"/>
          <w:u w:val="none"/>
        </w:rPr>
      </w:pPr>
      <w:r>
        <w:rPr>
          <w:rFonts w:hint="eastAsia" w:eastAsia="黑体" w:cs="黑体"/>
          <w:sz w:val="32"/>
          <w:szCs w:val="36"/>
          <w:highlight w:val="none"/>
          <w:u w:val="none"/>
        </w:rPr>
        <w:t>主要职能职责</w:t>
      </w:r>
    </w:p>
    <w:p w14:paraId="0F9B0090">
      <w:pPr>
        <w:numPr>
          <w:ilvl w:val="0"/>
          <w:numId w:val="0"/>
        </w:numPr>
        <w:spacing w:line="600" w:lineRule="exact"/>
        <w:ind w:leftChars="203"/>
        <w:outlineLvl w:val="2"/>
        <w:rPr>
          <w:rFonts w:eastAsia="黑体" w:cs="黑体"/>
          <w:sz w:val="32"/>
          <w:szCs w:val="36"/>
          <w:highlight w:val="none"/>
          <w:u w:val="none"/>
        </w:rPr>
      </w:pPr>
    </w:p>
    <w:p w14:paraId="6976B470">
      <w:pPr>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仿宋"/>
          <w:color w:val="000000" w:themeColor="text1"/>
          <w:sz w:val="32"/>
          <w:szCs w:val="32"/>
          <w:u w:val="none"/>
          <w:shd w:val="clear" w:color="FFFFFF" w:fill="FFFFFF"/>
          <w14:textFill>
            <w14:solidFill>
              <w14:schemeClr w14:val="tx1"/>
            </w14:solidFill>
          </w14:textFill>
        </w:rPr>
      </w:pPr>
      <w:r>
        <w:rPr>
          <w:rFonts w:hint="eastAsia" w:ascii="仿宋" w:hAnsi="仿宋" w:eastAsia="仿宋" w:cs="仿宋"/>
          <w:color w:val="000000" w:themeColor="text1"/>
          <w:sz w:val="32"/>
          <w:szCs w:val="32"/>
          <w:u w:val="none"/>
          <w14:textFill>
            <w14:solidFill>
              <w14:schemeClr w14:val="tx1"/>
            </w14:solidFill>
          </w14:textFill>
        </w:rPr>
        <w:t>内蒙古自治区第四医院（胸科医院）始建于1953年，是一所集医疗、教学、科研、预防于一体的综合性医疗机构，主要承担感染性疾病</w:t>
      </w:r>
      <w:r>
        <w:rPr>
          <w:rFonts w:hint="default" w:ascii="仿宋" w:hAnsi="仿宋" w:eastAsia="仿宋" w:cs="仿宋"/>
          <w:color w:val="000000" w:themeColor="text1"/>
          <w:sz w:val="32"/>
          <w:szCs w:val="32"/>
          <w:u w:val="none"/>
          <w:lang w:val="en-US"/>
          <w14:textFill>
            <w14:solidFill>
              <w14:schemeClr w14:val="tx1"/>
            </w14:solidFill>
          </w14:textFill>
        </w:rPr>
        <w:t>防治、呼吸系统疾病诊疗、心血管疾病诊治</w:t>
      </w:r>
      <w:r>
        <w:rPr>
          <w:rFonts w:hint="eastAsia" w:ascii="仿宋" w:hAnsi="仿宋" w:eastAsia="仿宋" w:cs="仿宋"/>
          <w:color w:val="000000" w:themeColor="text1"/>
          <w:sz w:val="32"/>
          <w:szCs w:val="32"/>
          <w:u w:val="none"/>
          <w14:textFill>
            <w14:solidFill>
              <w14:schemeClr w14:val="tx1"/>
            </w14:solidFill>
          </w14:textFill>
        </w:rPr>
        <w:t>工作，以及重大食物职业中毒、自然灾害引发疾病、突发公共卫生事件的应急医疗救治工作，同时拓展并提供综合医疗服</w:t>
      </w:r>
      <w:r>
        <w:rPr>
          <w:rFonts w:hint="eastAsia" w:ascii="仿宋" w:hAnsi="仿宋" w:eastAsia="仿宋" w:cs="仿宋"/>
          <w:color w:val="000000" w:themeColor="text1"/>
          <w:sz w:val="32"/>
          <w:szCs w:val="32"/>
          <w:u w:val="none"/>
          <w:shd w:val="clear" w:color="FFFFFF" w:fill="FFFFFF"/>
          <w14:textFill>
            <w14:solidFill>
              <w14:schemeClr w14:val="tx1"/>
            </w14:solidFill>
          </w14:textFill>
        </w:rPr>
        <w:t>务。</w:t>
      </w:r>
    </w:p>
    <w:p w14:paraId="390345A9">
      <w:pPr>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仿宋"/>
          <w:color w:val="000000" w:themeColor="text1"/>
          <w:sz w:val="32"/>
          <w:szCs w:val="32"/>
          <w:u w:val="none"/>
          <w14:textFill>
            <w14:solidFill>
              <w14:schemeClr w14:val="tx1"/>
            </w14:solidFill>
          </w14:textFill>
        </w:rPr>
      </w:pPr>
      <w:r>
        <w:rPr>
          <w:rFonts w:hint="eastAsia" w:ascii="仿宋" w:hAnsi="仿宋" w:eastAsia="仿宋" w:cs="仿宋"/>
          <w:color w:val="000000" w:themeColor="text1"/>
          <w:sz w:val="32"/>
          <w:szCs w:val="32"/>
          <w:u w:val="none"/>
          <w14:textFill>
            <w14:solidFill>
              <w14:schemeClr w14:val="tx1"/>
            </w14:solidFill>
          </w14:textFill>
        </w:rPr>
        <w:t>医院占地面积452亩，建筑面积约8万平方米，编制病床1200张，</w:t>
      </w:r>
      <w:r>
        <w:rPr>
          <w:rFonts w:hint="eastAsia" w:ascii="仿宋" w:hAnsi="仿宋" w:eastAsia="仿宋" w:cs="仿宋"/>
          <w:color w:val="000000" w:themeColor="text1"/>
          <w:sz w:val="32"/>
          <w:szCs w:val="32"/>
          <w:u w:val="none"/>
          <w:lang w:val="en-US" w:eastAsia="zh-CN"/>
          <w14:textFill>
            <w14:solidFill>
              <w14:schemeClr w14:val="tx1"/>
            </w14:solidFill>
          </w14:textFill>
        </w:rPr>
        <w:t>实际</w:t>
      </w:r>
      <w:r>
        <w:rPr>
          <w:rFonts w:hint="eastAsia" w:ascii="仿宋" w:hAnsi="仿宋" w:eastAsia="仿宋" w:cs="仿宋"/>
          <w:color w:val="000000" w:themeColor="text1"/>
          <w:sz w:val="32"/>
          <w:szCs w:val="32"/>
          <w:u w:val="none"/>
          <w14:textFill>
            <w14:solidFill>
              <w14:schemeClr w14:val="tx1"/>
            </w14:solidFill>
          </w14:textFill>
        </w:rPr>
        <w:t>开放病床</w:t>
      </w:r>
      <w:r>
        <w:rPr>
          <w:rFonts w:hint="eastAsia" w:ascii="仿宋" w:hAnsi="仿宋" w:eastAsia="仿宋" w:cs="仿宋"/>
          <w:color w:val="000000" w:themeColor="text1"/>
          <w:sz w:val="32"/>
          <w:szCs w:val="32"/>
          <w:u w:val="none"/>
          <w:lang w:val="en-US" w:eastAsia="zh-CN"/>
          <w14:textFill>
            <w14:solidFill>
              <w14:schemeClr w14:val="tx1"/>
            </w14:solidFill>
          </w14:textFill>
        </w:rPr>
        <w:t>379</w:t>
      </w:r>
      <w:r>
        <w:rPr>
          <w:rFonts w:hint="eastAsia" w:ascii="仿宋" w:hAnsi="仿宋" w:eastAsia="仿宋" w:cs="仿宋"/>
          <w:color w:val="000000" w:themeColor="text1"/>
          <w:sz w:val="32"/>
          <w:szCs w:val="32"/>
          <w:u w:val="none"/>
          <w14:textFill>
            <w14:solidFill>
              <w14:schemeClr w14:val="tx1"/>
            </w14:solidFill>
          </w14:textFill>
        </w:rPr>
        <w:t>张。建有</w:t>
      </w:r>
      <w:r>
        <w:rPr>
          <w:rFonts w:hint="eastAsia" w:ascii="仿宋" w:hAnsi="仿宋" w:eastAsia="仿宋" w:cs="仿宋"/>
          <w:color w:val="000000" w:themeColor="text1"/>
          <w:sz w:val="32"/>
          <w:szCs w:val="32"/>
          <w:u w:val="none"/>
          <w:lang w:val="en-US" w:eastAsia="zh-CN"/>
          <w14:textFill>
            <w14:solidFill>
              <w14:schemeClr w14:val="tx1"/>
            </w14:solidFill>
          </w14:textFill>
        </w:rPr>
        <w:t>门诊</w:t>
      </w:r>
      <w:r>
        <w:rPr>
          <w:rFonts w:hint="eastAsia" w:ascii="仿宋" w:hAnsi="仿宋" w:eastAsia="仿宋" w:cs="仿宋"/>
          <w:color w:val="000000" w:themeColor="text1"/>
          <w:sz w:val="32"/>
          <w:szCs w:val="32"/>
          <w:u w:val="none"/>
          <w14:textFill>
            <w14:solidFill>
              <w14:schemeClr w14:val="tx1"/>
            </w14:solidFill>
          </w14:textFill>
        </w:rPr>
        <w:t>综合楼、</w:t>
      </w:r>
      <w:r>
        <w:rPr>
          <w:rFonts w:hint="eastAsia" w:ascii="仿宋" w:hAnsi="仿宋" w:eastAsia="仿宋" w:cs="仿宋"/>
          <w:color w:val="000000" w:themeColor="text1"/>
          <w:sz w:val="32"/>
          <w:szCs w:val="32"/>
          <w:u w:val="none"/>
          <w:lang w:val="en-US" w:eastAsia="zh-CN"/>
          <w14:textFill>
            <w14:solidFill>
              <w14:schemeClr w14:val="tx1"/>
            </w14:solidFill>
          </w14:textFill>
        </w:rPr>
        <w:t>呼吸与心脏医学中心</w:t>
      </w:r>
      <w:r>
        <w:rPr>
          <w:rFonts w:hint="eastAsia" w:ascii="仿宋" w:hAnsi="仿宋" w:eastAsia="仿宋" w:cs="仿宋"/>
          <w:color w:val="000000" w:themeColor="text1"/>
          <w:sz w:val="32"/>
          <w:szCs w:val="32"/>
          <w:u w:val="none"/>
          <w14:textFill>
            <w14:solidFill>
              <w14:schemeClr w14:val="tx1"/>
            </w14:solidFill>
          </w14:textFill>
        </w:rPr>
        <w:t>、传染病房楼</w:t>
      </w:r>
      <w:r>
        <w:rPr>
          <w:rFonts w:hint="eastAsia" w:ascii="仿宋" w:hAnsi="仿宋" w:eastAsia="仿宋" w:cs="仿宋"/>
          <w:color w:val="000000" w:themeColor="text1"/>
          <w:sz w:val="32"/>
          <w:szCs w:val="32"/>
          <w:u w:val="none"/>
          <w:lang w:eastAsia="zh-CN"/>
          <w14:textFill>
            <w14:solidFill>
              <w14:schemeClr w14:val="tx1"/>
            </w14:solidFill>
          </w14:textFill>
        </w:rPr>
        <w:t>、</w:t>
      </w:r>
      <w:r>
        <w:rPr>
          <w:rFonts w:hint="eastAsia" w:ascii="仿宋" w:hAnsi="仿宋" w:eastAsia="仿宋" w:cs="仿宋"/>
          <w:color w:val="000000" w:themeColor="text1"/>
          <w:sz w:val="32"/>
          <w:szCs w:val="32"/>
          <w:u w:val="none"/>
          <w:lang w:val="en-US" w:eastAsia="zh-CN"/>
          <w14:textFill>
            <w14:solidFill>
              <w14:schemeClr w14:val="tx1"/>
            </w14:solidFill>
          </w14:textFill>
        </w:rPr>
        <w:t>东楼、西楼、北楼等</w:t>
      </w:r>
      <w:r>
        <w:rPr>
          <w:rFonts w:hint="eastAsia" w:ascii="仿宋" w:hAnsi="仿宋" w:eastAsia="仿宋" w:cs="仿宋"/>
          <w:color w:val="000000" w:themeColor="text1"/>
          <w:sz w:val="32"/>
          <w:szCs w:val="32"/>
          <w:u w:val="none"/>
          <w14:textFill>
            <w14:solidFill>
              <w14:schemeClr w14:val="tx1"/>
            </w14:solidFill>
          </w14:textFill>
        </w:rPr>
        <w:t>楼宇建筑，其中传染病房楼为2022年内蒙古自治区政府投资2.2亿元建设项目，设置传染病床420张。待新传染病房楼使用后，医院规划南区为传染病院区、北区为非传染病病区，建立“平急结合、平战转化”工作模式。</w:t>
      </w:r>
    </w:p>
    <w:p w14:paraId="7707C128">
      <w:pPr>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仿宋"/>
          <w:color w:val="000000" w:themeColor="text1"/>
          <w:sz w:val="32"/>
          <w:szCs w:val="32"/>
          <w:u w:val="none"/>
          <w14:textFill>
            <w14:solidFill>
              <w14:schemeClr w14:val="tx1"/>
            </w14:solidFill>
          </w14:textFill>
        </w:rPr>
      </w:pPr>
      <w:r>
        <w:rPr>
          <w:rFonts w:hint="eastAsia" w:ascii="仿宋" w:hAnsi="仿宋" w:eastAsia="仿宋" w:cs="仿宋"/>
          <w:color w:val="000000" w:themeColor="text1"/>
          <w:sz w:val="32"/>
          <w:szCs w:val="32"/>
          <w:u w:val="none"/>
          <w14:textFill>
            <w14:solidFill>
              <w14:schemeClr w14:val="tx1"/>
            </w14:solidFill>
          </w14:textFill>
        </w:rPr>
        <w:t>医院还是内蒙古自治区三级甲等传染病专科医院、内蒙古医科大学临床教学医院、内蒙古自治区突发公共卫生事件医疗救治中心和内蒙古自治区化学中毒救治基地，是国家感染性疾病临床研究中心内蒙古自治区分中心、内蒙古自治区感染性疾病医疗质量控制中心挂靠单位、内蒙古自治区防痨协会副理事长单位、东北区域感染性疾病专科联盟副理事长单位、内蒙古自治区感染性疾病专科联盟理事长单位、呼和浩特市诊疗发展促进会暨内蒙古医院集团副理事长单位，是内蒙古自治区医学会及医师协会结核病学分会主委单位、自治区防痨协会结核病学、结核外科学、结核感染控制学分会主委单位。</w:t>
      </w:r>
    </w:p>
    <w:p w14:paraId="35913455">
      <w:pPr>
        <w:numPr>
          <w:ilvl w:val="0"/>
          <w:numId w:val="1"/>
        </w:numPr>
        <w:spacing w:line="600" w:lineRule="exact"/>
        <w:ind w:left="17" w:leftChars="8" w:firstLine="624" w:firstLineChars="195"/>
        <w:outlineLvl w:val="2"/>
        <w:rPr>
          <w:rFonts w:eastAsia="黑体" w:cs="黑体"/>
          <w:sz w:val="32"/>
          <w:szCs w:val="36"/>
          <w:highlight w:val="none"/>
          <w:u w:val="none"/>
        </w:rPr>
      </w:pPr>
      <w:r>
        <w:rPr>
          <w:rFonts w:hint="eastAsia" w:eastAsia="黑体" w:cs="黑体"/>
          <w:sz w:val="32"/>
          <w:szCs w:val="36"/>
          <w:highlight w:val="none"/>
          <w:u w:val="none"/>
        </w:rPr>
        <w:t>单位机构设置及预算单位构成情况</w:t>
      </w:r>
    </w:p>
    <w:p w14:paraId="0B8A3AC8">
      <w:pPr>
        <w:numPr>
          <w:ilvl w:val="0"/>
          <w:numId w:val="2"/>
        </w:numPr>
        <w:spacing w:line="600" w:lineRule="exact"/>
        <w:ind w:left="-10" w:leftChars="0" w:firstLine="640" w:firstLineChars="0"/>
        <w:rPr>
          <w:rFonts w:hint="eastAsia" w:ascii="仿宋" w:hAnsi="仿宋" w:eastAsia="仿宋" w:cs="仿宋"/>
          <w:sz w:val="32"/>
          <w:szCs w:val="32"/>
          <w:highlight w:val="none"/>
          <w:u w:val="none"/>
          <w:lang w:val="en-US" w:eastAsia="zh-CN"/>
        </w:rPr>
      </w:pPr>
      <w:r>
        <w:rPr>
          <w:rFonts w:hint="eastAsia" w:ascii="仿宋" w:hAnsi="仿宋" w:eastAsia="仿宋" w:cs="仿宋"/>
          <w:sz w:val="32"/>
          <w:szCs w:val="32"/>
          <w:highlight w:val="none"/>
          <w:u w:val="none"/>
        </w:rPr>
        <w:t>根据单位职责分工，本单位内设机构包括</w:t>
      </w:r>
      <w:r>
        <w:rPr>
          <w:rFonts w:hint="eastAsia" w:ascii="仿宋" w:hAnsi="仿宋" w:eastAsia="仿宋" w:cs="仿宋"/>
          <w:sz w:val="32"/>
          <w:szCs w:val="32"/>
          <w:highlight w:val="none"/>
          <w:u w:val="none"/>
          <w:lang w:val="en-US" w:eastAsia="zh-CN"/>
        </w:rPr>
        <w:t>临床相关部门、医技医辅相关部门、行政部门及后勤部门</w:t>
      </w:r>
      <w:r>
        <w:rPr>
          <w:rFonts w:hint="eastAsia" w:ascii="仿宋" w:hAnsi="仿宋" w:eastAsia="仿宋" w:cs="仿宋"/>
          <w:sz w:val="32"/>
          <w:szCs w:val="32"/>
          <w:highlight w:val="none"/>
          <w:u w:val="none"/>
        </w:rPr>
        <w:t>。本单位</w:t>
      </w:r>
      <w:r>
        <w:rPr>
          <w:rFonts w:hint="eastAsia" w:ascii="仿宋" w:hAnsi="仿宋" w:eastAsia="仿宋" w:cs="仿宋"/>
          <w:sz w:val="32"/>
          <w:szCs w:val="32"/>
          <w:highlight w:val="none"/>
          <w:u w:val="none"/>
          <w:lang w:val="en-US" w:eastAsia="zh-CN"/>
        </w:rPr>
        <w:t>无</w:t>
      </w:r>
      <w:r>
        <w:rPr>
          <w:rFonts w:hint="eastAsia" w:ascii="仿宋" w:hAnsi="仿宋" w:eastAsia="仿宋" w:cs="仿宋"/>
          <w:sz w:val="32"/>
          <w:szCs w:val="32"/>
          <w:highlight w:val="none"/>
          <w:u w:val="none"/>
        </w:rPr>
        <w:t>下属单位</w:t>
      </w:r>
      <w:r>
        <w:rPr>
          <w:rFonts w:hint="eastAsia" w:ascii="仿宋" w:hAnsi="仿宋" w:eastAsia="仿宋" w:cs="仿宋"/>
          <w:sz w:val="32"/>
          <w:szCs w:val="32"/>
          <w:highlight w:val="none"/>
          <w:u w:val="none"/>
          <w:lang w:eastAsia="zh-CN"/>
        </w:rPr>
        <w:t>。医院现有在职职工</w:t>
      </w:r>
      <w:r>
        <w:rPr>
          <w:rFonts w:hint="eastAsia" w:ascii="仿宋" w:hAnsi="仿宋" w:eastAsia="仿宋" w:cs="仿宋"/>
          <w:sz w:val="32"/>
          <w:szCs w:val="32"/>
          <w:highlight w:val="none"/>
          <w:u w:val="none"/>
          <w:lang w:val="en-US" w:eastAsia="zh-CN"/>
        </w:rPr>
        <w:t>664</w:t>
      </w:r>
      <w:r>
        <w:rPr>
          <w:rFonts w:hint="eastAsia" w:ascii="仿宋" w:hAnsi="仿宋" w:eastAsia="仿宋" w:cs="仿宋"/>
          <w:sz w:val="32"/>
          <w:szCs w:val="32"/>
          <w:highlight w:val="none"/>
          <w:u w:val="none"/>
          <w:lang w:eastAsia="zh-CN"/>
        </w:rPr>
        <w:t>人，其中在编</w:t>
      </w:r>
      <w:r>
        <w:rPr>
          <w:rFonts w:hint="eastAsia" w:ascii="仿宋" w:hAnsi="仿宋" w:eastAsia="仿宋" w:cs="仿宋"/>
          <w:sz w:val="32"/>
          <w:szCs w:val="32"/>
          <w:highlight w:val="none"/>
          <w:u w:val="none"/>
          <w:lang w:val="en-US" w:eastAsia="zh-CN"/>
        </w:rPr>
        <w:t>407</w:t>
      </w:r>
      <w:r>
        <w:rPr>
          <w:rFonts w:hint="eastAsia" w:ascii="仿宋" w:hAnsi="仿宋" w:eastAsia="仿宋" w:cs="仿宋"/>
          <w:sz w:val="32"/>
          <w:szCs w:val="32"/>
          <w:highlight w:val="none"/>
          <w:u w:val="none"/>
          <w:lang w:eastAsia="zh-CN"/>
        </w:rPr>
        <w:t>人、合同制</w:t>
      </w:r>
      <w:r>
        <w:rPr>
          <w:rFonts w:hint="eastAsia" w:ascii="仿宋" w:hAnsi="仿宋" w:eastAsia="仿宋" w:cs="仿宋"/>
          <w:sz w:val="32"/>
          <w:szCs w:val="32"/>
          <w:highlight w:val="none"/>
          <w:u w:val="none"/>
          <w:lang w:val="en-US" w:eastAsia="zh-CN"/>
        </w:rPr>
        <w:t>257</w:t>
      </w:r>
      <w:r>
        <w:rPr>
          <w:rFonts w:hint="eastAsia" w:ascii="仿宋" w:hAnsi="仿宋" w:eastAsia="仿宋" w:cs="仿宋"/>
          <w:sz w:val="32"/>
          <w:szCs w:val="32"/>
          <w:highlight w:val="none"/>
          <w:u w:val="none"/>
          <w:lang w:eastAsia="zh-CN"/>
        </w:rPr>
        <w:t>人；其中专业技术类</w:t>
      </w:r>
      <w:r>
        <w:rPr>
          <w:rFonts w:hint="eastAsia" w:ascii="仿宋" w:hAnsi="仿宋" w:eastAsia="仿宋" w:cs="仿宋"/>
          <w:sz w:val="32"/>
          <w:szCs w:val="32"/>
          <w:highlight w:val="none"/>
          <w:u w:val="none"/>
          <w:lang w:val="en-US" w:eastAsia="zh-CN"/>
        </w:rPr>
        <w:t>507</w:t>
      </w:r>
      <w:r>
        <w:rPr>
          <w:rFonts w:hint="eastAsia" w:ascii="仿宋" w:hAnsi="仿宋" w:eastAsia="仿宋" w:cs="仿宋"/>
          <w:sz w:val="32"/>
          <w:szCs w:val="32"/>
          <w:highlight w:val="none"/>
          <w:u w:val="none"/>
          <w:lang w:eastAsia="zh-CN"/>
        </w:rPr>
        <w:t>人、管理类</w:t>
      </w:r>
      <w:r>
        <w:rPr>
          <w:rFonts w:hint="eastAsia" w:ascii="仿宋" w:hAnsi="仿宋" w:eastAsia="仿宋" w:cs="仿宋"/>
          <w:sz w:val="32"/>
          <w:szCs w:val="32"/>
          <w:highlight w:val="none"/>
          <w:u w:val="none"/>
          <w:lang w:val="en-US" w:eastAsia="zh-CN"/>
        </w:rPr>
        <w:t>62</w:t>
      </w:r>
      <w:r>
        <w:rPr>
          <w:rFonts w:hint="eastAsia" w:ascii="仿宋" w:hAnsi="仿宋" w:eastAsia="仿宋" w:cs="仿宋"/>
          <w:sz w:val="32"/>
          <w:szCs w:val="32"/>
          <w:highlight w:val="none"/>
          <w:u w:val="none"/>
          <w:lang w:eastAsia="zh-CN"/>
        </w:rPr>
        <w:t>人、工勤类</w:t>
      </w:r>
      <w:r>
        <w:rPr>
          <w:rFonts w:hint="eastAsia" w:ascii="仿宋" w:hAnsi="仿宋" w:eastAsia="仿宋" w:cs="仿宋"/>
          <w:sz w:val="32"/>
          <w:szCs w:val="32"/>
          <w:highlight w:val="none"/>
          <w:u w:val="none"/>
          <w:lang w:val="en-US" w:eastAsia="zh-CN"/>
        </w:rPr>
        <w:t>29</w:t>
      </w:r>
      <w:r>
        <w:rPr>
          <w:rFonts w:hint="eastAsia" w:ascii="仿宋" w:hAnsi="仿宋" w:eastAsia="仿宋" w:cs="仿宋"/>
          <w:sz w:val="32"/>
          <w:szCs w:val="32"/>
          <w:highlight w:val="none"/>
          <w:u w:val="none"/>
          <w:lang w:eastAsia="zh-CN"/>
        </w:rPr>
        <w:t>人；其中医师165人、护士</w:t>
      </w:r>
      <w:r>
        <w:rPr>
          <w:rFonts w:hint="eastAsia" w:ascii="仿宋" w:hAnsi="仿宋" w:eastAsia="仿宋" w:cs="仿宋"/>
          <w:sz w:val="32"/>
          <w:szCs w:val="32"/>
          <w:highlight w:val="none"/>
          <w:u w:val="none"/>
          <w:lang w:val="en-US" w:eastAsia="zh-CN"/>
        </w:rPr>
        <w:t>281</w:t>
      </w:r>
      <w:r>
        <w:rPr>
          <w:rFonts w:hint="eastAsia" w:ascii="仿宋" w:hAnsi="仿宋" w:eastAsia="仿宋" w:cs="仿宋"/>
          <w:sz w:val="32"/>
          <w:szCs w:val="32"/>
          <w:highlight w:val="none"/>
          <w:u w:val="none"/>
          <w:lang w:eastAsia="zh-CN"/>
        </w:rPr>
        <w:t>人，</w:t>
      </w:r>
      <w:r>
        <w:rPr>
          <w:rFonts w:hint="eastAsia" w:ascii="仿宋" w:hAnsi="仿宋" w:eastAsia="仿宋" w:cs="仿宋"/>
          <w:sz w:val="32"/>
          <w:szCs w:val="32"/>
          <w:highlight w:val="none"/>
          <w:u w:val="none"/>
          <w:lang w:val="en-US" w:eastAsia="zh-CN"/>
        </w:rPr>
        <w:t>药师（士）15人，技师（士）46人，其他技术人员66人</w:t>
      </w:r>
      <w:r>
        <w:rPr>
          <w:rFonts w:hint="eastAsia" w:ascii="仿宋" w:hAnsi="仿宋" w:eastAsia="仿宋" w:cs="仿宋"/>
          <w:sz w:val="32"/>
          <w:szCs w:val="32"/>
          <w:highlight w:val="none"/>
          <w:u w:val="none"/>
          <w:lang w:eastAsia="zh-CN"/>
        </w:rPr>
        <w:t>。</w:t>
      </w:r>
      <w:r>
        <w:rPr>
          <w:rFonts w:hint="eastAsia" w:ascii="仿宋" w:hAnsi="仿宋" w:eastAsia="仿宋" w:cs="仿宋"/>
          <w:sz w:val="32"/>
          <w:szCs w:val="32"/>
          <w:highlight w:val="none"/>
          <w:u w:val="none"/>
          <w:lang w:val="en-US" w:eastAsia="zh-CN"/>
        </w:rPr>
        <w:t xml:space="preserve">  </w:t>
      </w:r>
    </w:p>
    <w:p w14:paraId="35944533">
      <w:pPr>
        <w:numPr>
          <w:ilvl w:val="0"/>
          <w:numId w:val="2"/>
        </w:numPr>
        <w:spacing w:line="600" w:lineRule="exact"/>
        <w:ind w:left="-10" w:leftChars="0" w:firstLine="640" w:firstLineChars="0"/>
        <w:rPr>
          <w:rFonts w:ascii="仿宋_GB2312" w:hAnsi="仿宋_GB2312" w:eastAsia="仿宋_GB2312" w:cs="仿宋_GB2312"/>
          <w:b/>
          <w:bCs/>
          <w:sz w:val="32"/>
          <w:szCs w:val="32"/>
          <w:highlight w:val="none"/>
          <w:u w:val="none"/>
        </w:rPr>
      </w:pPr>
      <w:r>
        <w:rPr>
          <w:rFonts w:hint="eastAsia" w:ascii="仿宋" w:hAnsi="仿宋" w:eastAsia="仿宋" w:cs="仿宋"/>
          <w:sz w:val="32"/>
          <w:szCs w:val="32"/>
          <w:highlight w:val="none"/>
          <w:u w:val="none"/>
        </w:rPr>
        <w:t>从预算单位构成看，纳入本单位</w:t>
      </w:r>
      <w:r>
        <w:rPr>
          <w:rFonts w:hint="eastAsia" w:ascii="仿宋" w:hAnsi="仿宋" w:eastAsia="仿宋" w:cs="仿宋"/>
          <w:sz w:val="32"/>
          <w:szCs w:val="32"/>
          <w:highlight w:val="none"/>
          <w:u w:val="none"/>
          <w:lang w:val="en-US" w:eastAsia="zh-CN"/>
        </w:rPr>
        <w:t>2026</w:t>
      </w:r>
      <w:r>
        <w:rPr>
          <w:rFonts w:hint="eastAsia" w:ascii="仿宋" w:hAnsi="仿宋" w:eastAsia="仿宋" w:cs="仿宋"/>
          <w:sz w:val="32"/>
          <w:szCs w:val="32"/>
          <w:highlight w:val="none"/>
          <w:u w:val="none"/>
        </w:rPr>
        <w:t>年部门汇总预算编制范围的预算单位共计</w:t>
      </w:r>
      <w:r>
        <w:rPr>
          <w:rFonts w:hint="eastAsia" w:ascii="仿宋" w:hAnsi="仿宋" w:eastAsia="仿宋" w:cs="仿宋"/>
          <w:sz w:val="32"/>
          <w:szCs w:val="32"/>
          <w:highlight w:val="none"/>
          <w:u w:val="none"/>
          <w:lang w:val="en-US" w:eastAsia="zh-CN"/>
        </w:rPr>
        <w:t>1</w:t>
      </w:r>
      <w:r>
        <w:rPr>
          <w:rFonts w:hint="eastAsia" w:ascii="仿宋" w:hAnsi="仿宋" w:eastAsia="仿宋" w:cs="仿宋"/>
          <w:sz w:val="32"/>
          <w:szCs w:val="32"/>
          <w:highlight w:val="none"/>
          <w:u w:val="none"/>
        </w:rPr>
        <w:t>家，</w:t>
      </w:r>
      <w:r>
        <w:rPr>
          <w:rFonts w:hint="eastAsia" w:ascii="仿宋" w:hAnsi="仿宋" w:eastAsia="仿宋" w:cs="仿宋"/>
          <w:sz w:val="32"/>
          <w:szCs w:val="32"/>
          <w:highlight w:val="none"/>
          <w:u w:val="none"/>
          <w:lang w:val="en-US" w:eastAsia="zh-CN"/>
        </w:rPr>
        <w:t>为内蒙古自治区第四医院（内蒙古自治区胸科医院、内蒙古自治区公共卫生突发事件医疗救治中心），</w:t>
      </w:r>
      <w:r>
        <w:rPr>
          <w:rFonts w:hint="eastAsia" w:eastAsia="仿宋_GB2312" w:cstheme="minorBidi"/>
          <w:sz w:val="32"/>
          <w:szCs w:val="32"/>
          <w:highlight w:val="none"/>
          <w:u w:val="none"/>
        </w:rPr>
        <w:t>详细情况见表：</w:t>
      </w:r>
    </w:p>
    <w:tbl>
      <w:tblPr>
        <w:tblStyle w:val="20"/>
        <w:tblpPr w:leftFromText="180" w:rightFromText="180" w:vertAnchor="text" w:horzAnchor="page" w:tblpX="1278" w:tblpY="804"/>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2"/>
        <w:gridCol w:w="4303"/>
        <w:gridCol w:w="4117"/>
      </w:tblGrid>
      <w:tr w14:paraId="7FE25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 w:type="dxa"/>
          </w:tcPr>
          <w:p w14:paraId="4677FDE7">
            <w:pPr>
              <w:widowControl/>
              <w:jc w:val="center"/>
              <w:rPr>
                <w:rFonts w:ascii="仿宋" w:hAnsi="仿宋" w:eastAsia="仿宋" w:cs="仿宋"/>
                <w:color w:val="000000"/>
                <w:kern w:val="0"/>
                <w:sz w:val="31"/>
                <w:szCs w:val="31"/>
                <w:highlight w:val="none"/>
                <w:u w:val="none"/>
                <w:lang w:bidi="ar"/>
              </w:rPr>
            </w:pPr>
            <w:r>
              <w:rPr>
                <w:rFonts w:hint="eastAsia" w:ascii="Times New Roman" w:hAnsi="Times New Roman" w:eastAsia="仿宋_GB2312" w:cs="仿宋"/>
                <w:color w:val="000000"/>
                <w:kern w:val="0"/>
                <w:sz w:val="31"/>
                <w:szCs w:val="31"/>
                <w:highlight w:val="none"/>
                <w:u w:val="none"/>
                <w:lang w:bidi="ar"/>
              </w:rPr>
              <w:t>序号</w:t>
            </w:r>
          </w:p>
        </w:tc>
        <w:tc>
          <w:tcPr>
            <w:tcW w:w="4303" w:type="dxa"/>
            <w:vAlign w:val="center"/>
          </w:tcPr>
          <w:p w14:paraId="38013D7B">
            <w:pPr>
              <w:widowControl/>
              <w:jc w:val="center"/>
              <w:rPr>
                <w:rFonts w:ascii="仿宋" w:hAnsi="仿宋" w:eastAsia="仿宋" w:cs="仿宋"/>
                <w:color w:val="000000"/>
                <w:kern w:val="0"/>
                <w:sz w:val="31"/>
                <w:szCs w:val="31"/>
                <w:highlight w:val="none"/>
                <w:u w:val="none"/>
                <w:lang w:bidi="ar"/>
              </w:rPr>
            </w:pPr>
            <w:r>
              <w:rPr>
                <w:rFonts w:hint="eastAsia" w:ascii="Times New Roman" w:hAnsi="Times New Roman" w:eastAsia="仿宋_GB2312" w:cs="仿宋"/>
                <w:color w:val="000000"/>
                <w:kern w:val="0"/>
                <w:sz w:val="31"/>
                <w:szCs w:val="31"/>
                <w:highlight w:val="none"/>
                <w:u w:val="none"/>
                <w:lang w:bidi="ar"/>
              </w:rPr>
              <w:t>单位名称</w:t>
            </w:r>
          </w:p>
        </w:tc>
        <w:tc>
          <w:tcPr>
            <w:tcW w:w="4117" w:type="dxa"/>
            <w:vAlign w:val="center"/>
          </w:tcPr>
          <w:p w14:paraId="295526ED">
            <w:pPr>
              <w:widowControl/>
              <w:jc w:val="center"/>
              <w:rPr>
                <w:rFonts w:ascii="仿宋" w:hAnsi="仿宋" w:eastAsia="仿宋" w:cs="仿宋"/>
                <w:color w:val="000000"/>
                <w:kern w:val="0"/>
                <w:sz w:val="31"/>
                <w:szCs w:val="31"/>
                <w:highlight w:val="none"/>
                <w:u w:val="none"/>
                <w:lang w:bidi="ar"/>
              </w:rPr>
            </w:pPr>
            <w:r>
              <w:rPr>
                <w:rFonts w:hint="eastAsia" w:ascii="Times New Roman" w:hAnsi="Times New Roman" w:eastAsia="仿宋_GB2312" w:cs="仿宋"/>
                <w:color w:val="000000"/>
                <w:kern w:val="0"/>
                <w:sz w:val="31"/>
                <w:szCs w:val="31"/>
                <w:highlight w:val="none"/>
                <w:u w:val="none"/>
                <w:lang w:bidi="ar"/>
              </w:rPr>
              <w:t>单位性质</w:t>
            </w:r>
          </w:p>
        </w:tc>
      </w:tr>
      <w:tr w14:paraId="68816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 w:type="dxa"/>
            <w:vAlign w:val="center"/>
          </w:tcPr>
          <w:p w14:paraId="74FE581B">
            <w:pPr>
              <w:widowControl/>
              <w:jc w:val="center"/>
              <w:rPr>
                <w:rFonts w:hint="eastAsia" w:ascii="仿宋" w:hAnsi="仿宋" w:eastAsia="仿宋" w:cs="仿宋"/>
                <w:color w:val="000000"/>
                <w:kern w:val="0"/>
                <w:sz w:val="31"/>
                <w:szCs w:val="31"/>
                <w:highlight w:val="none"/>
                <w:u w:val="none"/>
                <w:lang w:eastAsia="zh-CN" w:bidi="ar"/>
              </w:rPr>
            </w:pPr>
            <w:r>
              <w:rPr>
                <w:rFonts w:hint="eastAsia" w:eastAsia="仿宋_GB2312" w:cs="仿宋"/>
                <w:color w:val="000000"/>
                <w:kern w:val="0"/>
                <w:sz w:val="31"/>
                <w:szCs w:val="31"/>
                <w:highlight w:val="none"/>
                <w:u w:val="none"/>
                <w:lang w:val="en-US" w:eastAsia="zh-CN" w:bidi="ar"/>
              </w:rPr>
              <w:t>1</w:t>
            </w:r>
          </w:p>
        </w:tc>
        <w:tc>
          <w:tcPr>
            <w:tcW w:w="4303" w:type="dxa"/>
          </w:tcPr>
          <w:p w14:paraId="6E8E9337">
            <w:pPr>
              <w:widowControl/>
              <w:spacing w:line="240" w:lineRule="auto"/>
              <w:jc w:val="center"/>
              <w:rPr>
                <w:rFonts w:hint="eastAsia" w:ascii="仿宋_GB2312" w:hAnsi="仿宋_GB2312" w:eastAsia="仿宋_GB2312" w:cs="仿宋"/>
                <w:color w:val="000000"/>
                <w:kern w:val="0"/>
                <w:sz w:val="31"/>
                <w:szCs w:val="31"/>
                <w:highlight w:val="none"/>
                <w:u w:val="none"/>
                <w:lang w:val="en-US" w:eastAsia="zh-CN" w:bidi="ar"/>
              </w:rPr>
            </w:pPr>
          </w:p>
          <w:p w14:paraId="707E21B2">
            <w:pPr>
              <w:widowControl/>
              <w:spacing w:line="240" w:lineRule="auto"/>
              <w:jc w:val="center"/>
              <w:rPr>
                <w:rFonts w:hint="default" w:ascii="仿宋" w:hAnsi="仿宋" w:eastAsia="仿宋" w:cs="仿宋"/>
                <w:color w:val="000000"/>
                <w:kern w:val="0"/>
                <w:sz w:val="31"/>
                <w:szCs w:val="31"/>
                <w:highlight w:val="none"/>
                <w:u w:val="none"/>
                <w:lang w:val="en-US" w:eastAsia="zh-CN" w:bidi="ar"/>
              </w:rPr>
            </w:pPr>
            <w:r>
              <w:rPr>
                <w:rFonts w:hint="eastAsia" w:ascii="仿宋_GB2312" w:hAnsi="仿宋_GB2312" w:eastAsia="仿宋_GB2312" w:cs="仿宋"/>
                <w:color w:val="000000"/>
                <w:kern w:val="0"/>
                <w:sz w:val="31"/>
                <w:szCs w:val="31"/>
                <w:highlight w:val="none"/>
                <w:u w:val="none"/>
                <w:lang w:val="en-US" w:eastAsia="zh-CN" w:bidi="ar"/>
              </w:rPr>
              <w:t>内蒙古自治区第四医院</w:t>
            </w:r>
            <w:r>
              <w:rPr>
                <w:rFonts w:hint="eastAsia" w:ascii="仿宋" w:hAnsi="仿宋" w:eastAsia="仿宋" w:cs="仿宋"/>
                <w:sz w:val="32"/>
                <w:szCs w:val="32"/>
                <w:highlight w:val="none"/>
                <w:u w:val="none"/>
                <w:lang w:val="en-US" w:eastAsia="zh-CN"/>
              </w:rPr>
              <w:t>内蒙古自治区胸科医院、内蒙古自治区公共卫生突发事件医疗救治中心）</w:t>
            </w:r>
          </w:p>
        </w:tc>
        <w:tc>
          <w:tcPr>
            <w:tcW w:w="4117" w:type="dxa"/>
          </w:tcPr>
          <w:p w14:paraId="0509BE6C">
            <w:pPr>
              <w:widowControl/>
              <w:spacing w:line="720" w:lineRule="auto"/>
              <w:jc w:val="center"/>
              <w:rPr>
                <w:rFonts w:hint="eastAsia" w:ascii="Times New Roman" w:hAnsi="Times New Roman" w:eastAsia="仿宋_GB2312" w:cs="仿宋"/>
                <w:color w:val="000000"/>
                <w:kern w:val="0"/>
                <w:sz w:val="31"/>
                <w:szCs w:val="31"/>
                <w:highlight w:val="none"/>
                <w:u w:val="none"/>
                <w:lang w:bidi="ar"/>
              </w:rPr>
            </w:pPr>
          </w:p>
          <w:p w14:paraId="1410F79B">
            <w:pPr>
              <w:widowControl/>
              <w:spacing w:line="720" w:lineRule="auto"/>
              <w:jc w:val="center"/>
              <w:rPr>
                <w:rFonts w:ascii="仿宋" w:hAnsi="仿宋" w:eastAsia="仿宋" w:cs="仿宋"/>
                <w:color w:val="000000"/>
                <w:kern w:val="0"/>
                <w:sz w:val="31"/>
                <w:szCs w:val="31"/>
                <w:highlight w:val="none"/>
                <w:u w:val="none"/>
                <w:lang w:bidi="ar"/>
              </w:rPr>
            </w:pPr>
            <w:r>
              <w:rPr>
                <w:rFonts w:hint="eastAsia" w:ascii="Times New Roman" w:hAnsi="Times New Roman" w:eastAsia="仿宋_GB2312" w:cs="仿宋"/>
                <w:color w:val="000000"/>
                <w:kern w:val="0"/>
                <w:sz w:val="31"/>
                <w:szCs w:val="31"/>
                <w:highlight w:val="none"/>
                <w:u w:val="none"/>
                <w:lang w:bidi="ar"/>
              </w:rPr>
              <w:t>公益二类事业单位</w:t>
            </w:r>
          </w:p>
        </w:tc>
      </w:tr>
    </w:tbl>
    <w:p w14:paraId="3BA73DA0">
      <w:pPr>
        <w:widowControl w:val="0"/>
        <w:numPr>
          <w:ilvl w:val="0"/>
          <w:numId w:val="0"/>
        </w:numPr>
        <w:spacing w:line="600" w:lineRule="exact"/>
        <w:jc w:val="both"/>
        <w:outlineLvl w:val="2"/>
        <w:rPr>
          <w:rFonts w:eastAsia="黑体" w:cs="黑体"/>
          <w:sz w:val="32"/>
          <w:szCs w:val="36"/>
          <w:highlight w:val="none"/>
          <w:u w:val="none"/>
        </w:rPr>
      </w:pPr>
    </w:p>
    <w:p w14:paraId="393FBEC5">
      <w:pPr>
        <w:widowControl w:val="0"/>
        <w:numPr>
          <w:ilvl w:val="0"/>
          <w:numId w:val="0"/>
        </w:numPr>
        <w:spacing w:line="600" w:lineRule="exact"/>
        <w:jc w:val="both"/>
        <w:outlineLvl w:val="2"/>
        <w:rPr>
          <w:rFonts w:eastAsia="黑体" w:cs="黑体"/>
          <w:sz w:val="32"/>
          <w:szCs w:val="36"/>
          <w:highlight w:val="none"/>
          <w:u w:val="none"/>
        </w:rPr>
      </w:pPr>
    </w:p>
    <w:p w14:paraId="05907377">
      <w:pPr>
        <w:widowControl w:val="0"/>
        <w:numPr>
          <w:ilvl w:val="0"/>
          <w:numId w:val="0"/>
        </w:numPr>
        <w:spacing w:line="600" w:lineRule="exact"/>
        <w:jc w:val="both"/>
        <w:outlineLvl w:val="2"/>
        <w:rPr>
          <w:rFonts w:eastAsia="黑体" w:cs="黑体"/>
          <w:sz w:val="32"/>
          <w:szCs w:val="36"/>
          <w:highlight w:val="none"/>
          <w:u w:val="none"/>
        </w:rPr>
      </w:pPr>
    </w:p>
    <w:p w14:paraId="56053F8D">
      <w:pPr>
        <w:numPr>
          <w:ilvl w:val="0"/>
          <w:numId w:val="1"/>
        </w:numPr>
        <w:spacing w:line="600" w:lineRule="exact"/>
        <w:ind w:left="17" w:leftChars="8" w:firstLine="624" w:firstLineChars="195"/>
        <w:outlineLvl w:val="2"/>
        <w:rPr>
          <w:rFonts w:eastAsia="黑体" w:cs="黑体"/>
          <w:sz w:val="32"/>
          <w:szCs w:val="36"/>
          <w:highlight w:val="none"/>
          <w:u w:val="none"/>
        </w:rPr>
      </w:pPr>
      <w:r>
        <w:rPr>
          <w:rFonts w:hint="eastAsia" w:ascii="仿宋_GB2312" w:hAnsi="仿宋_GB2312" w:eastAsia="黑体" w:cs="黑体"/>
          <w:sz w:val="32"/>
          <w:szCs w:val="36"/>
          <w:highlight w:val="none"/>
          <w:u w:val="none"/>
          <w:lang w:val="en-US" w:eastAsia="zh-CN"/>
        </w:rPr>
        <w:t>2026</w:t>
      </w:r>
      <w:r>
        <w:rPr>
          <w:rFonts w:hint="eastAsia" w:eastAsia="黑体" w:cs="黑体"/>
          <w:sz w:val="32"/>
          <w:szCs w:val="36"/>
          <w:highlight w:val="none"/>
          <w:u w:val="none"/>
        </w:rPr>
        <w:t>年度单位主要工作任务及目标</w:t>
      </w:r>
    </w:p>
    <w:p w14:paraId="7018C719">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楷体" w:hAnsi="楷体" w:eastAsia="楷体" w:cs="楷体"/>
          <w:b w:val="0"/>
          <w:bCs w:val="0"/>
          <w:color w:val="000000" w:themeColor="text1"/>
          <w:sz w:val="32"/>
          <w:szCs w:val="32"/>
          <w14:textFill>
            <w14:solidFill>
              <w14:schemeClr w14:val="tx1"/>
            </w14:solidFill>
          </w14:textFill>
        </w:rPr>
      </w:pPr>
      <w:r>
        <w:rPr>
          <w:rFonts w:hint="eastAsia" w:ascii="楷体" w:hAnsi="楷体" w:eastAsia="楷体" w:cs="楷体"/>
          <w:b w:val="0"/>
          <w:bCs w:val="0"/>
          <w:color w:val="000000" w:themeColor="text1"/>
          <w:sz w:val="32"/>
          <w:szCs w:val="32"/>
          <w14:textFill>
            <w14:solidFill>
              <w14:schemeClr w14:val="tx1"/>
            </w14:solidFill>
          </w14:textFill>
        </w:rPr>
        <w:t xml:space="preserve">（一）总体思路  </w:t>
      </w:r>
    </w:p>
    <w:p w14:paraId="23B23F65">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14:textFill>
            <w14:solidFill>
              <w14:schemeClr w14:val="tx1"/>
            </w14:solidFill>
          </w14:textFill>
        </w:rPr>
        <w:t>以“一体两翼”战略为引领，持续强专科、优综合、育人才、促协同，推动医院从“临床驱动”向“临床—科研—产业”融合模式转型，加快建设辐射中西部的高水平感染性疾病诊疗中心。</w:t>
      </w:r>
    </w:p>
    <w:p w14:paraId="7F2EABBC">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楷体" w:hAnsi="楷体" w:eastAsia="楷体" w:cs="楷体"/>
          <w:b w:val="0"/>
          <w:bCs w:val="0"/>
          <w:color w:val="000000" w:themeColor="text1"/>
          <w:sz w:val="32"/>
          <w:szCs w:val="32"/>
          <w14:textFill>
            <w14:solidFill>
              <w14:schemeClr w14:val="tx1"/>
            </w14:solidFill>
          </w14:textFill>
        </w:rPr>
      </w:pPr>
      <w:r>
        <w:rPr>
          <w:rFonts w:hint="eastAsia" w:ascii="楷体" w:hAnsi="楷体" w:eastAsia="楷体" w:cs="楷体"/>
          <w:b w:val="0"/>
          <w:bCs w:val="0"/>
          <w:color w:val="000000" w:themeColor="text1"/>
          <w:sz w:val="32"/>
          <w:szCs w:val="32"/>
          <w14:textFill>
            <w14:solidFill>
              <w14:schemeClr w14:val="tx1"/>
            </w14:solidFill>
          </w14:textFill>
        </w:rPr>
        <w:t xml:space="preserve">（二）主要目标  </w:t>
      </w:r>
    </w:p>
    <w:p w14:paraId="5FFA6221">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lang w:val="en-US" w:eastAsia="zh-CN"/>
          <w14:textFill>
            <w14:solidFill>
              <w14:schemeClr w14:val="tx1"/>
            </w14:solidFill>
          </w14:textFill>
        </w:rPr>
        <w:t>1</w:t>
      </w:r>
      <w:r>
        <w:rPr>
          <w:rFonts w:hint="eastAsia" w:ascii="仿宋" w:hAnsi="仿宋" w:eastAsia="仿宋" w:cs="仿宋"/>
          <w:color w:val="000000" w:themeColor="text1"/>
          <w:sz w:val="32"/>
          <w:szCs w:val="32"/>
          <w14:textFill>
            <w14:solidFill>
              <w14:schemeClr w14:val="tx1"/>
            </w14:solidFill>
          </w14:textFill>
        </w:rPr>
        <w:t xml:space="preserve">.新增自治区级重点专科2个，争创PCCM优秀单位。  </w:t>
      </w:r>
    </w:p>
    <w:p w14:paraId="3D04A579">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lang w:val="en-US" w:eastAsia="zh-CN"/>
          <w14:textFill>
            <w14:solidFill>
              <w14:schemeClr w14:val="tx1"/>
            </w14:solidFill>
          </w14:textFill>
        </w:rPr>
        <w:t>2</w:t>
      </w:r>
      <w:r>
        <w:rPr>
          <w:rFonts w:hint="eastAsia" w:ascii="仿宋" w:hAnsi="仿宋" w:eastAsia="仿宋" w:cs="仿宋"/>
          <w:color w:val="000000" w:themeColor="text1"/>
          <w:sz w:val="32"/>
          <w:szCs w:val="32"/>
          <w14:textFill>
            <w14:solidFill>
              <w14:schemeClr w14:val="tx1"/>
            </w14:solidFill>
          </w14:textFill>
        </w:rPr>
        <w:t>.引进或培育领军人才</w:t>
      </w:r>
      <w:r>
        <w:rPr>
          <w:rFonts w:hint="eastAsia" w:ascii="仿宋" w:hAnsi="仿宋" w:eastAsia="仿宋" w:cs="仿宋"/>
          <w:color w:val="000000" w:themeColor="text1"/>
          <w:sz w:val="32"/>
          <w:szCs w:val="32"/>
          <w:lang w:val="en-US" w:eastAsia="zh-CN"/>
          <w14:textFill>
            <w14:solidFill>
              <w14:schemeClr w14:val="tx1"/>
            </w14:solidFill>
          </w14:textFill>
        </w:rPr>
        <w:t>3—</w:t>
      </w:r>
      <w:r>
        <w:rPr>
          <w:rFonts w:hint="eastAsia" w:ascii="仿宋" w:hAnsi="仿宋" w:eastAsia="仿宋" w:cs="仿宋"/>
          <w:color w:val="000000" w:themeColor="text1"/>
          <w:sz w:val="32"/>
          <w:szCs w:val="32"/>
          <w14:textFill>
            <w14:solidFill>
              <w14:schemeClr w14:val="tx1"/>
            </w14:solidFill>
          </w14:textFill>
        </w:rPr>
        <w:t>5名，选派骨干进修不少于30人次。</w:t>
      </w:r>
    </w:p>
    <w:p w14:paraId="59074EF9">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lang w:val="en-US" w:eastAsia="zh-CN"/>
          <w14:textFill>
            <w14:solidFill>
              <w14:schemeClr w14:val="tx1"/>
            </w14:solidFill>
          </w14:textFill>
        </w:rPr>
        <w:t>3</w:t>
      </w:r>
      <w:r>
        <w:rPr>
          <w:rFonts w:hint="eastAsia" w:ascii="仿宋" w:hAnsi="仿宋" w:eastAsia="仿宋" w:cs="仿宋"/>
          <w:color w:val="000000" w:themeColor="text1"/>
          <w:sz w:val="32"/>
          <w:szCs w:val="32"/>
          <w14:textFill>
            <w14:solidFill>
              <w14:schemeClr w14:val="tx1"/>
            </w14:solidFill>
          </w14:textFill>
        </w:rPr>
        <w:t>.互联网医院线上服务占比提升至20%以上。</w:t>
      </w:r>
    </w:p>
    <w:p w14:paraId="45CDCC50">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lang w:val="en-US" w:eastAsia="zh-CN"/>
          <w14:textFill>
            <w14:solidFill>
              <w14:schemeClr w14:val="tx1"/>
            </w14:solidFill>
          </w14:textFill>
        </w:rPr>
        <w:t>4</w:t>
      </w:r>
      <w:r>
        <w:rPr>
          <w:rFonts w:hint="eastAsia" w:ascii="仿宋" w:hAnsi="仿宋" w:eastAsia="仿宋" w:cs="仿宋"/>
          <w:color w:val="000000" w:themeColor="text1"/>
          <w:sz w:val="32"/>
          <w:szCs w:val="32"/>
          <w14:textFill>
            <w14:solidFill>
              <w14:schemeClr w14:val="tx1"/>
            </w14:solidFill>
          </w14:textFill>
        </w:rPr>
        <w:t>.获批国家自然科学基金项目</w:t>
      </w:r>
      <w:r>
        <w:rPr>
          <w:rFonts w:hint="eastAsia" w:ascii="仿宋" w:hAnsi="仿宋" w:eastAsia="仿宋" w:cs="仿宋"/>
          <w:color w:val="000000" w:themeColor="text1"/>
          <w:sz w:val="32"/>
          <w:szCs w:val="32"/>
          <w:lang w:val="en-US" w:eastAsia="zh-CN"/>
          <w14:textFill>
            <w14:solidFill>
              <w14:schemeClr w14:val="tx1"/>
            </w14:solidFill>
          </w14:textFill>
        </w:rPr>
        <w:t>1—</w:t>
      </w:r>
      <w:r>
        <w:rPr>
          <w:rFonts w:hint="eastAsia" w:ascii="仿宋" w:hAnsi="仿宋" w:eastAsia="仿宋" w:cs="仿宋"/>
          <w:color w:val="000000" w:themeColor="text1"/>
          <w:sz w:val="32"/>
          <w:szCs w:val="32"/>
          <w14:textFill>
            <w14:solidFill>
              <w14:schemeClr w14:val="tx1"/>
            </w14:solidFill>
          </w14:textFill>
        </w:rPr>
        <w:t>2项，实现科研成果转化零突破。</w:t>
      </w:r>
    </w:p>
    <w:p w14:paraId="0DB30EFE">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lang w:val="en-US" w:eastAsia="zh-CN"/>
          <w14:textFill>
            <w14:solidFill>
              <w14:schemeClr w14:val="tx1"/>
            </w14:solidFill>
          </w14:textFill>
        </w:rPr>
        <w:t>5</w:t>
      </w:r>
      <w:r>
        <w:rPr>
          <w:rFonts w:hint="eastAsia" w:ascii="仿宋" w:hAnsi="仿宋" w:eastAsia="仿宋" w:cs="仿宋"/>
          <w:color w:val="000000" w:themeColor="text1"/>
          <w:sz w:val="32"/>
          <w:szCs w:val="32"/>
          <w14:textFill>
            <w14:solidFill>
              <w14:schemeClr w14:val="tx1"/>
            </w14:solidFill>
          </w14:textFill>
        </w:rPr>
        <w:t>.专科联盟内远程会诊量增长30%，双向转诊流程全面优化。</w:t>
      </w:r>
    </w:p>
    <w:p w14:paraId="5B91C4F7">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楷体" w:hAnsi="楷体" w:eastAsia="楷体" w:cs="楷体"/>
          <w:b w:val="0"/>
          <w:bCs w:val="0"/>
          <w:color w:val="000000" w:themeColor="text1"/>
          <w:sz w:val="32"/>
          <w:szCs w:val="32"/>
          <w14:textFill>
            <w14:solidFill>
              <w14:schemeClr w14:val="tx1"/>
            </w14:solidFill>
          </w14:textFill>
        </w:rPr>
      </w:pPr>
      <w:r>
        <w:rPr>
          <w:rFonts w:hint="eastAsia" w:ascii="楷体" w:hAnsi="楷体" w:eastAsia="楷体" w:cs="楷体"/>
          <w:b w:val="0"/>
          <w:bCs w:val="0"/>
          <w:color w:val="000000" w:themeColor="text1"/>
          <w:sz w:val="32"/>
          <w:szCs w:val="32"/>
          <w14:textFill>
            <w14:solidFill>
              <w14:schemeClr w14:val="tx1"/>
            </w14:solidFill>
          </w14:textFill>
        </w:rPr>
        <w:t xml:space="preserve">（三）重点举措  </w:t>
      </w:r>
    </w:p>
    <w:p w14:paraId="3257EBAB">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14:textFill>
            <w14:solidFill>
              <w14:schemeClr w14:val="tx1"/>
            </w14:solidFill>
          </w14:textFill>
        </w:rPr>
        <w:t xml:space="preserve">1.实施“专科攀登工程”：聚焦结核病、呼吸危重症、感染重症三大核心，建设专病照护达标单位10个。建设“胸部疾病微创诊疗中心”与“疑难感染病MDT平台”。  </w:t>
      </w:r>
    </w:p>
    <w:p w14:paraId="51F30E2C">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14:textFill>
            <w14:solidFill>
              <w14:schemeClr w14:val="tx1"/>
            </w14:solidFill>
          </w14:textFill>
        </w:rPr>
        <w:t>2.深化“京蒙</w:t>
      </w:r>
      <w:r>
        <w:rPr>
          <w:rFonts w:hint="eastAsia" w:ascii="仿宋" w:hAnsi="仿宋" w:eastAsia="仿宋" w:cs="仿宋"/>
          <w:color w:val="000000" w:themeColor="text1"/>
          <w:sz w:val="32"/>
          <w:szCs w:val="32"/>
          <w:lang w:eastAsia="zh-CN"/>
          <w14:textFill>
            <w14:solidFill>
              <w14:schemeClr w14:val="tx1"/>
            </w14:solidFill>
          </w14:textFill>
        </w:rPr>
        <w:t>、</w:t>
      </w:r>
      <w:r>
        <w:rPr>
          <w:rFonts w:hint="eastAsia" w:ascii="仿宋" w:hAnsi="仿宋" w:eastAsia="仿宋" w:cs="仿宋"/>
          <w:color w:val="000000" w:themeColor="text1"/>
          <w:sz w:val="32"/>
          <w:szCs w:val="32"/>
          <w14:textFill>
            <w14:solidFill>
              <w14:schemeClr w14:val="tx1"/>
            </w14:solidFill>
          </w14:textFill>
        </w:rPr>
        <w:t>沪蒙</w:t>
      </w:r>
      <w:r>
        <w:rPr>
          <w:rFonts w:hint="eastAsia" w:ascii="仿宋" w:hAnsi="仿宋" w:eastAsia="仿宋" w:cs="仿宋"/>
          <w:color w:val="000000" w:themeColor="text1"/>
          <w:sz w:val="32"/>
          <w:szCs w:val="32"/>
          <w:lang w:eastAsia="zh-CN"/>
          <w14:textFill>
            <w14:solidFill>
              <w14:schemeClr w14:val="tx1"/>
            </w14:solidFill>
          </w14:textFill>
        </w:rPr>
        <w:t>、</w:t>
      </w:r>
      <w:r>
        <w:rPr>
          <w:rFonts w:hint="eastAsia" w:ascii="仿宋" w:hAnsi="仿宋" w:eastAsia="仿宋" w:cs="仿宋"/>
          <w:color w:val="000000" w:themeColor="text1"/>
          <w:sz w:val="32"/>
          <w:szCs w:val="32"/>
          <w:lang w:val="en-US" w:eastAsia="zh-CN"/>
          <w14:textFill>
            <w14:solidFill>
              <w14:schemeClr w14:val="tx1"/>
            </w14:solidFill>
          </w14:textFill>
        </w:rPr>
        <w:t>粤蒙</w:t>
      </w:r>
      <w:r>
        <w:rPr>
          <w:rFonts w:hint="eastAsia" w:ascii="仿宋" w:hAnsi="仿宋" w:eastAsia="仿宋" w:cs="仿宋"/>
          <w:color w:val="000000" w:themeColor="text1"/>
          <w:sz w:val="32"/>
          <w:szCs w:val="32"/>
          <w14:textFill>
            <w14:solidFill>
              <w14:schemeClr w14:val="tx1"/>
            </w14:solidFill>
          </w14:textFill>
        </w:rPr>
        <w:t>”协作：拓展与北京朝阳医院、上海肺科医院</w:t>
      </w:r>
      <w:r>
        <w:rPr>
          <w:rFonts w:hint="eastAsia" w:ascii="仿宋" w:hAnsi="仿宋" w:eastAsia="仿宋" w:cs="仿宋"/>
          <w:color w:val="000000" w:themeColor="text1"/>
          <w:sz w:val="32"/>
          <w:szCs w:val="32"/>
          <w:lang w:eastAsia="zh-CN"/>
          <w14:textFill>
            <w14:solidFill>
              <w14:schemeClr w14:val="tx1"/>
            </w14:solidFill>
          </w14:textFill>
        </w:rPr>
        <w:t>、</w:t>
      </w:r>
      <w:r>
        <w:rPr>
          <w:rFonts w:hint="eastAsia" w:ascii="仿宋" w:hAnsi="仿宋" w:eastAsia="仿宋" w:cs="仿宋"/>
          <w:color w:val="000000" w:themeColor="text1"/>
          <w:sz w:val="32"/>
          <w:szCs w:val="32"/>
          <w:lang w:val="en-US" w:eastAsia="zh-CN"/>
          <w14:textFill>
            <w14:solidFill>
              <w14:schemeClr w14:val="tx1"/>
            </w14:solidFill>
          </w14:textFill>
        </w:rPr>
        <w:t>国家广州实验室</w:t>
      </w:r>
      <w:r>
        <w:rPr>
          <w:rFonts w:hint="eastAsia" w:ascii="仿宋" w:hAnsi="仿宋" w:eastAsia="仿宋" w:cs="仿宋"/>
          <w:color w:val="000000" w:themeColor="text1"/>
          <w:sz w:val="32"/>
          <w:szCs w:val="32"/>
          <w14:textFill>
            <w14:solidFill>
              <w14:schemeClr w14:val="tx1"/>
            </w14:solidFill>
          </w14:textFill>
        </w:rPr>
        <w:t xml:space="preserve">合作内涵，共建“呼吸重症微创技术培训中心”和“杰青名医工作站”。推动“管理—技术—文化”三平移模式向更多学科复制。  </w:t>
      </w:r>
    </w:p>
    <w:p w14:paraId="6F8630AC">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14:textFill>
            <w14:solidFill>
              <w14:schemeClr w14:val="tx1"/>
            </w14:solidFill>
          </w14:textFill>
        </w:rPr>
        <w:t>3.推进“智慧医院二期”：建设大数据临床科研平台，推动电子病历应用水平六级达标。完善互联网医院药品配送与线上随</w:t>
      </w:r>
    </w:p>
    <w:p w14:paraId="2EC2316B">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14:textFill>
            <w14:solidFill>
              <w14:schemeClr w14:val="tx1"/>
            </w14:solidFill>
          </w14:textFill>
        </w:rPr>
        <w:t xml:space="preserve">访体系。 </w:t>
      </w:r>
    </w:p>
    <w:p w14:paraId="58AAD84C">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14:textFill>
            <w14:solidFill>
              <w14:schemeClr w14:val="tx1"/>
            </w14:solidFill>
          </w14:textFill>
        </w:rPr>
        <w:t xml:space="preserve">4.强化“产学研用”融合：加快生物样本库标准化建设，联合企业申报科技成果转化项目2项以上。设立院内临床研究培育专项。  </w:t>
      </w:r>
    </w:p>
    <w:p w14:paraId="515A0C2A">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14:textFill>
            <w14:solidFill>
              <w14:schemeClr w14:val="tx1"/>
            </w14:solidFill>
          </w14:textFill>
        </w:rPr>
        <w:t xml:space="preserve">5.拓展“移动医疗+”服务：新增2辆专科筛查车，深入农牧区开展结核病、呼吸慢病筛查，覆盖10个旗县。  </w:t>
      </w:r>
    </w:p>
    <w:p w14:paraId="6027C021">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000000" w:themeColor="text1"/>
          <w:sz w:val="32"/>
          <w:szCs w:val="32"/>
          <w14:textFill>
            <w14:solidFill>
              <w14:schemeClr w14:val="tx1"/>
            </w14:solidFill>
          </w14:textFill>
        </w:rPr>
      </w:pPr>
      <w:r>
        <w:rPr>
          <w:rFonts w:hint="eastAsia" w:ascii="仿宋" w:hAnsi="仿宋" w:eastAsia="仿宋" w:cs="仿宋"/>
          <w:color w:val="000000" w:themeColor="text1"/>
          <w:sz w:val="32"/>
          <w:szCs w:val="32"/>
          <w14:textFill>
            <w14:solidFill>
              <w14:schemeClr w14:val="tx1"/>
            </w14:solidFill>
          </w14:textFill>
        </w:rPr>
        <w:t>6.优化人才发展生态：实施“一人一策”精准引才，重点引进病原学、重症医学学科带头人。完善“导师制”骨干培养体系，组建跨学科科研团队。</w:t>
      </w:r>
    </w:p>
    <w:p w14:paraId="1A370149">
      <w:pPr>
        <w:pStyle w:val="18"/>
        <w:ind w:left="0" w:leftChars="0" w:firstLine="0" w:firstLineChars="0"/>
        <w:rPr>
          <w:rFonts w:hint="eastAsia" w:ascii="仿宋" w:hAnsi="仿宋" w:eastAsia="仿宋" w:cs="仿宋"/>
          <w:sz w:val="32"/>
          <w:szCs w:val="32"/>
          <w:u w:val="none"/>
        </w:rPr>
      </w:pPr>
    </w:p>
    <w:p w14:paraId="7BA19032">
      <w:pPr>
        <w:pStyle w:val="3"/>
        <w:tabs>
          <w:tab w:val="left" w:pos="4392"/>
        </w:tabs>
        <w:adjustRightInd/>
        <w:snapToGrid/>
        <w:spacing w:before="0" w:after="0" w:line="600" w:lineRule="exact"/>
        <w:ind w:firstLine="0" w:firstLineChars="0"/>
        <w:jc w:val="center"/>
        <w:rPr>
          <w:rFonts w:ascii="方正小标宋简体" w:hAnsi="方正小标宋简体" w:eastAsia="方正小标宋简体" w:cs="方正小标宋简体"/>
          <w:b w:val="0"/>
          <w:bCs w:val="0"/>
          <w:sz w:val="36"/>
          <w:szCs w:val="36"/>
          <w:highlight w:val="none"/>
          <w:u w:val="none"/>
        </w:rPr>
      </w:pPr>
      <w:bookmarkStart w:id="1" w:name="_Toc21288"/>
      <w:r>
        <w:rPr>
          <w:rFonts w:hint="eastAsia" w:ascii="方正小标宋简体" w:hAnsi="方正小标宋简体" w:eastAsia="方正小标宋简体" w:cs="方正小标宋简体"/>
          <w:b w:val="0"/>
          <w:bCs w:val="0"/>
          <w:sz w:val="36"/>
          <w:szCs w:val="36"/>
          <w:highlight w:val="none"/>
          <w:u w:val="none"/>
        </w:rPr>
        <w:t>第二部分</w:t>
      </w:r>
      <w:r>
        <w:rPr>
          <w:rFonts w:hint="eastAsia" w:ascii="方正小标宋简体" w:hAnsi="方正小标宋简体" w:eastAsia="方正小标宋简体" w:cs="方正小标宋简体"/>
          <w:b w:val="0"/>
          <w:bCs w:val="0"/>
          <w:sz w:val="36"/>
          <w:szCs w:val="36"/>
          <w:highlight w:val="none"/>
          <w:u w:val="none"/>
          <w:lang w:val="en-US" w:eastAsia="zh-CN"/>
        </w:rPr>
        <w:t xml:space="preserve">  2026</w:t>
      </w:r>
      <w:r>
        <w:rPr>
          <w:rFonts w:hint="eastAsia" w:ascii="方正小标宋简体" w:hAnsi="方正小标宋简体" w:eastAsia="方正小标宋简体" w:cs="方正小标宋简体"/>
          <w:b w:val="0"/>
          <w:bCs w:val="0"/>
          <w:sz w:val="36"/>
          <w:szCs w:val="36"/>
          <w:highlight w:val="none"/>
          <w:u w:val="none"/>
        </w:rPr>
        <w:t>年度单位预算情况说明</w:t>
      </w:r>
      <w:bookmarkEnd w:id="1"/>
    </w:p>
    <w:p w14:paraId="7730A676">
      <w:pPr>
        <w:spacing w:line="600" w:lineRule="exact"/>
        <w:rPr>
          <w:rFonts w:ascii="方正小标宋简体" w:hAnsi="方正小标宋简体" w:eastAsia="方正小标宋简体" w:cs="方正小标宋简体"/>
          <w:sz w:val="36"/>
          <w:szCs w:val="36"/>
          <w:highlight w:val="none"/>
          <w:u w:val="none"/>
        </w:rPr>
      </w:pPr>
    </w:p>
    <w:p w14:paraId="6305D148">
      <w:pPr>
        <w:spacing w:line="600" w:lineRule="exact"/>
        <w:ind w:left="0" w:leftChars="0" w:firstLine="640" w:firstLineChars="200"/>
        <w:outlineLvl w:val="2"/>
        <w:rPr>
          <w:rFonts w:eastAsia="黑体" w:cs="黑体"/>
          <w:sz w:val="32"/>
          <w:szCs w:val="36"/>
          <w:highlight w:val="none"/>
          <w:u w:val="none"/>
        </w:rPr>
      </w:pPr>
      <w:r>
        <w:rPr>
          <w:rFonts w:hint="eastAsia" w:eastAsia="黑体" w:cs="黑体"/>
          <w:sz w:val="32"/>
          <w:szCs w:val="36"/>
          <w:highlight w:val="none"/>
          <w:u w:val="none"/>
        </w:rPr>
        <w:t>一、收支预算总体情况说明</w:t>
      </w:r>
    </w:p>
    <w:p w14:paraId="15B8C51E">
      <w:pPr>
        <w:pStyle w:val="8"/>
        <w:tabs>
          <w:tab w:val="left" w:pos="5840"/>
          <w:tab w:val="left" w:pos="7858"/>
          <w:tab w:val="left" w:pos="9328"/>
        </w:tabs>
        <w:spacing w:after="0" w:line="600" w:lineRule="exact"/>
        <w:ind w:firstLine="640" w:firstLineChars="200"/>
        <w:rPr>
          <w:rFonts w:ascii="仿宋_GB2312" w:hAnsi="仿宋_GB2312" w:eastAsia="仿宋_GB2312" w:cs="仿宋_GB2312"/>
          <w:sz w:val="32"/>
          <w:szCs w:val="32"/>
          <w:highlight w:val="none"/>
          <w:u w:val="none"/>
        </w:rPr>
      </w:pPr>
      <w:r>
        <w:rPr>
          <w:rFonts w:hint="eastAsia" w:ascii="仿宋_GB2312" w:hAnsi="仿宋_GB2312" w:eastAsia="仿宋_GB2312" w:cs="仿宋"/>
          <w:sz w:val="32"/>
          <w:szCs w:val="32"/>
          <w:highlight w:val="none"/>
          <w:u w:val="none"/>
          <w:lang w:val="en-US" w:eastAsia="zh-CN"/>
        </w:rPr>
        <w:t>内蒙古自治区第四医院（内蒙古自治区胸科医院、内蒙古自治区公共卫生突发事件医疗救治中心）2026</w:t>
      </w:r>
      <w:r>
        <w:rPr>
          <w:rFonts w:hint="eastAsia" w:ascii="仿宋_GB2312" w:hAnsi="仿宋_GB2312" w:eastAsia="仿宋_GB2312" w:cs="仿宋_GB2312"/>
          <w:sz w:val="32"/>
          <w:szCs w:val="32"/>
          <w:highlight w:val="none"/>
          <w:u w:val="none"/>
        </w:rPr>
        <w:t>年度收入、支出预算总计</w:t>
      </w:r>
      <w:r>
        <w:rPr>
          <w:rFonts w:hint="eastAsia" w:ascii="仿宋_GB2312" w:hAnsi="仿宋_GB2312" w:eastAsia="仿宋_GB2312" w:cs="仿宋_GB2312"/>
          <w:sz w:val="32"/>
          <w:szCs w:val="32"/>
          <w:highlight w:val="none"/>
          <w:u w:val="none"/>
          <w:lang w:val="en-US" w:eastAsia="zh-CN"/>
        </w:rPr>
        <w:t>29465.83</w:t>
      </w:r>
      <w:r>
        <w:rPr>
          <w:rFonts w:hint="eastAsia" w:ascii="仿宋_GB2312" w:hAnsi="仿宋_GB2312" w:eastAsia="仿宋_GB2312" w:cs="仿宋_GB2312"/>
          <w:sz w:val="32"/>
          <w:szCs w:val="32"/>
          <w:highlight w:val="none"/>
          <w:u w:val="none"/>
        </w:rPr>
        <w:t>万元，与上年</w:t>
      </w:r>
      <w:r>
        <w:rPr>
          <w:rFonts w:hint="eastAsia" w:ascii="仿宋_GB2312" w:hAnsi="仿宋_GB2312" w:eastAsia="仿宋_GB2312" w:cs="仿宋_GB2312"/>
          <w:sz w:val="32"/>
          <w:szCs w:val="32"/>
          <w:highlight w:val="none"/>
          <w:u w:val="none"/>
          <w:lang w:val="en-US" w:eastAsia="zh-CN"/>
        </w:rPr>
        <w:t>21668.29万元</w:t>
      </w:r>
      <w:r>
        <w:rPr>
          <w:rFonts w:hint="eastAsia" w:ascii="仿宋_GB2312" w:hAnsi="仿宋_GB2312" w:eastAsia="仿宋_GB2312" w:cs="仿宋_GB2312"/>
          <w:sz w:val="32"/>
          <w:szCs w:val="32"/>
          <w:highlight w:val="none"/>
          <w:u w:val="none"/>
        </w:rPr>
        <w:t>相比收、支预算总计各</w:t>
      </w:r>
      <w:r>
        <w:rPr>
          <w:rFonts w:hint="eastAsia" w:ascii="仿宋_GB2312" w:hAnsi="仿宋_GB2312" w:eastAsia="仿宋_GB2312" w:cs="仿宋_GB2312"/>
          <w:sz w:val="32"/>
          <w:szCs w:val="32"/>
          <w:highlight w:val="none"/>
          <w:u w:val="none"/>
          <w:lang w:val="en-US" w:eastAsia="zh-CN"/>
        </w:rPr>
        <w:t>增加7797.54</w:t>
      </w:r>
      <w:r>
        <w:rPr>
          <w:rFonts w:hint="eastAsia" w:ascii="仿宋_GB2312" w:hAnsi="仿宋_GB2312" w:eastAsia="仿宋_GB2312" w:cs="仿宋_GB2312"/>
          <w:sz w:val="32"/>
          <w:szCs w:val="32"/>
          <w:highlight w:val="none"/>
          <w:u w:val="none"/>
        </w:rPr>
        <w:t>万元，</w:t>
      </w:r>
      <w:r>
        <w:rPr>
          <w:rFonts w:hint="eastAsia" w:ascii="仿宋_GB2312" w:hAnsi="仿宋_GB2312" w:eastAsia="仿宋_GB2312" w:cs="仿宋_GB2312"/>
          <w:sz w:val="32"/>
          <w:szCs w:val="32"/>
          <w:highlight w:val="none"/>
          <w:u w:val="none"/>
          <w:lang w:val="en-US" w:eastAsia="zh-CN"/>
        </w:rPr>
        <w:t>增加35.99</w:t>
      </w:r>
      <w:r>
        <w:rPr>
          <w:rFonts w:hint="eastAsia" w:ascii="仿宋_GB2312" w:hAnsi="仿宋_GB2312" w:eastAsia="仿宋_GB2312" w:cs="仿宋_GB2312"/>
          <w:sz w:val="32"/>
          <w:szCs w:val="32"/>
          <w:highlight w:val="none"/>
          <w:u w:val="none"/>
        </w:rPr>
        <w:t>%。其中：</w:t>
      </w:r>
    </w:p>
    <w:p w14:paraId="738B4BCB">
      <w:pPr>
        <w:pStyle w:val="8"/>
        <w:tabs>
          <w:tab w:val="left" w:pos="4275"/>
        </w:tabs>
        <w:spacing w:after="0" w:line="600" w:lineRule="exact"/>
        <w:ind w:firstLine="643" w:firstLineChars="200"/>
        <w:rPr>
          <w:rFonts w:ascii="楷体" w:hAnsi="楷体" w:eastAsia="楷体" w:cs="楷体"/>
          <w:b/>
          <w:bCs/>
          <w:sz w:val="32"/>
          <w:szCs w:val="32"/>
          <w:highlight w:val="none"/>
          <w:u w:val="none"/>
        </w:rPr>
      </w:pPr>
      <w:r>
        <w:rPr>
          <w:rFonts w:hint="eastAsia" w:ascii="楷体" w:hAnsi="楷体" w:eastAsia="楷体" w:cs="楷体"/>
          <w:b/>
          <w:bCs/>
          <w:sz w:val="32"/>
          <w:szCs w:val="32"/>
          <w:highlight w:val="none"/>
          <w:u w:val="none"/>
        </w:rPr>
        <w:t>（一）收入预算总计</w:t>
      </w:r>
      <w:r>
        <w:rPr>
          <w:rFonts w:hint="eastAsia" w:eastAsia="仿宋_GB2312" w:cs="仿宋"/>
          <w:sz w:val="32"/>
          <w:szCs w:val="32"/>
          <w:highlight w:val="none"/>
          <w:u w:val="none"/>
          <w:lang w:val="en-US" w:eastAsia="zh-CN"/>
        </w:rPr>
        <w:t>29465.83</w:t>
      </w:r>
      <w:r>
        <w:rPr>
          <w:rFonts w:hint="eastAsia" w:ascii="楷体" w:hAnsi="楷体" w:eastAsia="楷体" w:cs="楷体"/>
          <w:b/>
          <w:bCs/>
          <w:sz w:val="32"/>
          <w:szCs w:val="32"/>
          <w:highlight w:val="none"/>
          <w:u w:val="none"/>
        </w:rPr>
        <w:t>万元。包括：</w:t>
      </w:r>
    </w:p>
    <w:p w14:paraId="67436B02">
      <w:pPr>
        <w:pStyle w:val="8"/>
        <w:tabs>
          <w:tab w:val="left" w:pos="3792"/>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1．本年收入合计</w:t>
      </w:r>
      <w:r>
        <w:rPr>
          <w:rFonts w:hint="eastAsia" w:eastAsia="仿宋_GB2312"/>
          <w:sz w:val="32"/>
          <w:szCs w:val="32"/>
          <w:highlight w:val="none"/>
          <w:u w:val="none"/>
          <w:lang w:val="en-US" w:eastAsia="zh-CN"/>
        </w:rPr>
        <w:t>29465.83</w:t>
      </w:r>
      <w:r>
        <w:rPr>
          <w:rFonts w:eastAsia="仿宋_GB2312"/>
          <w:sz w:val="32"/>
          <w:szCs w:val="32"/>
          <w:highlight w:val="none"/>
          <w:u w:val="none"/>
        </w:rPr>
        <w:t>万元。</w:t>
      </w:r>
    </w:p>
    <w:p w14:paraId="4F4BFE2E">
      <w:pPr>
        <w:pStyle w:val="8"/>
        <w:tabs>
          <w:tab w:val="left" w:pos="1389"/>
          <w:tab w:val="left" w:pos="4911"/>
          <w:tab w:val="left" w:pos="5898"/>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（1）一般公共预算拨款收入</w:t>
      </w:r>
      <w:r>
        <w:rPr>
          <w:rFonts w:hint="eastAsia" w:eastAsia="仿宋_GB2312"/>
          <w:sz w:val="32"/>
          <w:szCs w:val="32"/>
          <w:highlight w:val="none"/>
          <w:u w:val="none"/>
          <w:lang w:val="en-US" w:eastAsia="zh-CN"/>
        </w:rPr>
        <w:t>13747.30</w:t>
      </w:r>
      <w:r>
        <w:rPr>
          <w:rFonts w:eastAsia="仿宋_GB2312"/>
          <w:sz w:val="32"/>
          <w:szCs w:val="32"/>
          <w:highlight w:val="none"/>
          <w:u w:val="none"/>
        </w:rPr>
        <w:t>万元，与上年相比增加</w:t>
      </w:r>
      <w:r>
        <w:rPr>
          <w:rFonts w:hint="eastAsia" w:eastAsia="仿宋_GB2312"/>
          <w:sz w:val="32"/>
          <w:szCs w:val="32"/>
          <w:highlight w:val="none"/>
          <w:u w:val="none"/>
          <w:lang w:val="en-US" w:eastAsia="zh-CN"/>
        </w:rPr>
        <w:t>7901.38</w:t>
      </w:r>
      <w:r>
        <w:rPr>
          <w:rFonts w:eastAsia="仿宋_GB2312"/>
          <w:sz w:val="32"/>
          <w:szCs w:val="32"/>
          <w:highlight w:val="none"/>
          <w:u w:val="none"/>
        </w:rPr>
        <w:t>万元，增长</w:t>
      </w:r>
      <w:r>
        <w:rPr>
          <w:rFonts w:hint="eastAsia" w:eastAsia="仿宋_GB2312"/>
          <w:sz w:val="32"/>
          <w:szCs w:val="32"/>
          <w:highlight w:val="none"/>
          <w:u w:val="none"/>
          <w:lang w:val="en-US" w:eastAsia="zh-CN"/>
        </w:rPr>
        <w:t>135.16</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。主要原因是</w:t>
      </w:r>
      <w:r>
        <w:rPr>
          <w:rFonts w:hint="eastAsia" w:eastAsia="仿宋_GB2312"/>
          <w:sz w:val="32"/>
          <w:szCs w:val="32"/>
          <w:highlight w:val="none"/>
          <w:u w:val="none"/>
          <w:lang w:val="en-US" w:eastAsia="zh-CN"/>
        </w:rPr>
        <w:t>本年度基本支出中定项补助增加628万元、本年度新增专项资金项目医疗服务与保障能力提升（医疗卫生机构能力建设）500万元，新增内蒙古自治区第四医院传染病大楼开办经费项目6936万元，新增学科建设、健康教育及12320热线服务费105万元，新增中（蒙）医能力建设和学术继承2万元；本年度重大公共卫生服务补助资金减少86万元、事业发展经费支出、新冠疫情防控医务临时性工作补助资金、新冠患者救治费用财政补助资金、医疗服务与保障能力提升（公立医院综合改革）补助资金取消，共计705.61万元。</w:t>
      </w:r>
    </w:p>
    <w:p w14:paraId="59A57CD2">
      <w:pPr>
        <w:pStyle w:val="8"/>
        <w:tabs>
          <w:tab w:val="left" w:pos="1389"/>
          <w:tab w:val="left" w:pos="4911"/>
          <w:tab w:val="left" w:pos="5991"/>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（2）政府性基金预算拨款收入</w:t>
      </w:r>
      <w:r>
        <w:rPr>
          <w:rFonts w:hint="eastAsia" w:eastAsia="仿宋_GB2312"/>
          <w:sz w:val="32"/>
          <w:szCs w:val="32"/>
          <w:highlight w:val="none"/>
          <w:u w:val="none"/>
          <w:lang w:val="en-US" w:eastAsia="zh-CN"/>
        </w:rPr>
        <w:t>0</w:t>
      </w:r>
      <w:r>
        <w:rPr>
          <w:rFonts w:eastAsia="仿宋_GB2312"/>
          <w:sz w:val="32"/>
          <w:szCs w:val="32"/>
          <w:highlight w:val="none"/>
          <w:u w:val="none"/>
        </w:rPr>
        <w:t>万元，与上年相比增加</w:t>
      </w:r>
      <w:r>
        <w:rPr>
          <w:rFonts w:hint="eastAsia" w:eastAsia="仿宋_GB2312"/>
          <w:sz w:val="32"/>
          <w:szCs w:val="32"/>
          <w:highlight w:val="none"/>
          <w:u w:val="none"/>
          <w:lang w:val="en-US" w:eastAsia="zh-CN"/>
        </w:rPr>
        <w:t>0</w:t>
      </w:r>
      <w:r>
        <w:rPr>
          <w:rFonts w:eastAsia="仿宋_GB2312"/>
          <w:sz w:val="32"/>
          <w:szCs w:val="32"/>
          <w:highlight w:val="none"/>
          <w:u w:val="none"/>
        </w:rPr>
        <w:t>万元，增长</w:t>
      </w:r>
      <w:r>
        <w:rPr>
          <w:rFonts w:hint="eastAsia" w:eastAsia="仿宋_GB2312"/>
          <w:sz w:val="32"/>
          <w:szCs w:val="32"/>
          <w:highlight w:val="none"/>
          <w:u w:val="none"/>
          <w:lang w:val="en-US" w:eastAsia="zh-CN"/>
        </w:rPr>
        <w:t xml:space="preserve">00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。主要原因是</w:t>
      </w:r>
      <w:r>
        <w:rPr>
          <w:rFonts w:hint="eastAsia" w:ascii="仿宋_GB2312" w:hAnsi="仿宋_GB2312" w:eastAsia="仿宋_GB2312"/>
          <w:sz w:val="32"/>
          <w:szCs w:val="32"/>
          <w:highlight w:val="none"/>
          <w:u w:val="none"/>
          <w:lang w:val="en-US" w:eastAsia="zh-CN"/>
        </w:rPr>
        <w:t>我单位</w:t>
      </w:r>
      <w:r>
        <w:rPr>
          <w:rFonts w:hint="eastAsia" w:ascii="仿宋_GB2312" w:hAnsi="仿宋_GB2312" w:eastAsia="仿宋_GB2312"/>
          <w:sz w:val="32"/>
          <w:szCs w:val="24"/>
          <w:highlight w:val="none"/>
          <w:u w:val="none"/>
        </w:rPr>
        <w:t>不存在此项内容</w:t>
      </w:r>
      <w:r>
        <w:rPr>
          <w:rFonts w:eastAsia="仿宋_GB2312"/>
          <w:sz w:val="32"/>
          <w:szCs w:val="32"/>
          <w:highlight w:val="none"/>
          <w:u w:val="none"/>
        </w:rPr>
        <w:t>。</w:t>
      </w:r>
    </w:p>
    <w:p w14:paraId="1F746382">
      <w:pPr>
        <w:pStyle w:val="8"/>
        <w:tabs>
          <w:tab w:val="left" w:pos="1389"/>
          <w:tab w:val="left" w:pos="4911"/>
          <w:tab w:val="left" w:pos="6205"/>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（3）国有资本经营预算拨款收入</w:t>
      </w:r>
      <w:r>
        <w:rPr>
          <w:rFonts w:hint="eastAsia" w:eastAsia="仿宋_GB2312"/>
          <w:sz w:val="32"/>
          <w:szCs w:val="32"/>
          <w:highlight w:val="none"/>
          <w:u w:val="none"/>
          <w:lang w:val="en-US" w:eastAsia="zh-CN"/>
        </w:rPr>
        <w:t>0</w:t>
      </w:r>
      <w:r>
        <w:rPr>
          <w:rFonts w:eastAsia="仿宋_GB2312"/>
          <w:sz w:val="32"/>
          <w:szCs w:val="32"/>
          <w:highlight w:val="none"/>
          <w:u w:val="none"/>
        </w:rPr>
        <w:t>万元，与上年相比增加</w:t>
      </w:r>
      <w:r>
        <w:rPr>
          <w:rFonts w:hint="eastAsia" w:eastAsia="仿宋_GB2312"/>
          <w:sz w:val="32"/>
          <w:szCs w:val="32"/>
          <w:highlight w:val="none"/>
          <w:u w:val="none"/>
          <w:lang w:val="en-US" w:eastAsia="zh-CN"/>
        </w:rPr>
        <w:t>0</w:t>
      </w:r>
      <w:r>
        <w:rPr>
          <w:rFonts w:eastAsia="仿宋_GB2312"/>
          <w:sz w:val="32"/>
          <w:szCs w:val="32"/>
          <w:highlight w:val="none"/>
          <w:u w:val="none"/>
        </w:rPr>
        <w:t>万元，增长</w:t>
      </w:r>
      <w:r>
        <w:rPr>
          <w:rFonts w:hint="eastAsia" w:eastAsia="仿宋_GB2312"/>
          <w:sz w:val="32"/>
          <w:szCs w:val="32"/>
          <w:highlight w:val="none"/>
          <w:u w:val="none"/>
          <w:lang w:val="en-US" w:eastAsia="zh-CN"/>
        </w:rPr>
        <w:t>0</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。主要原因是</w:t>
      </w:r>
      <w:r>
        <w:rPr>
          <w:rFonts w:hint="eastAsia" w:ascii="仿宋_GB2312" w:hAnsi="仿宋_GB2312" w:eastAsia="仿宋_GB2312"/>
          <w:sz w:val="32"/>
          <w:szCs w:val="32"/>
          <w:highlight w:val="none"/>
          <w:u w:val="none"/>
          <w:lang w:val="en-US" w:eastAsia="zh-CN"/>
        </w:rPr>
        <w:t>我单位</w:t>
      </w:r>
      <w:r>
        <w:rPr>
          <w:rFonts w:hint="eastAsia" w:ascii="仿宋_GB2312" w:hAnsi="仿宋_GB2312" w:eastAsia="仿宋_GB2312"/>
          <w:sz w:val="32"/>
          <w:szCs w:val="24"/>
          <w:highlight w:val="none"/>
          <w:u w:val="none"/>
        </w:rPr>
        <w:t>不存在此项内容</w:t>
      </w:r>
      <w:r>
        <w:rPr>
          <w:rFonts w:eastAsia="仿宋_GB2312"/>
          <w:sz w:val="32"/>
          <w:szCs w:val="32"/>
          <w:highlight w:val="none"/>
          <w:u w:val="none"/>
        </w:rPr>
        <w:t>。</w:t>
      </w:r>
    </w:p>
    <w:p w14:paraId="1EBFB90F">
      <w:pPr>
        <w:pStyle w:val="8"/>
        <w:tabs>
          <w:tab w:val="left" w:pos="1389"/>
          <w:tab w:val="left" w:pos="4911"/>
          <w:tab w:val="left" w:pos="5898"/>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（4）财政专户管理资金收入</w:t>
      </w:r>
      <w:r>
        <w:rPr>
          <w:rFonts w:hint="eastAsia" w:eastAsia="仿宋_GB2312"/>
          <w:sz w:val="32"/>
          <w:szCs w:val="32"/>
          <w:highlight w:val="none"/>
          <w:u w:val="none"/>
          <w:lang w:val="en-US" w:eastAsia="zh-CN"/>
        </w:rPr>
        <w:t>0</w:t>
      </w:r>
      <w:r>
        <w:rPr>
          <w:rFonts w:eastAsia="仿宋_GB2312"/>
          <w:sz w:val="32"/>
          <w:szCs w:val="32"/>
          <w:highlight w:val="none"/>
          <w:u w:val="none"/>
        </w:rPr>
        <w:t xml:space="preserve">万元，与上年相比增加 </w:t>
      </w:r>
      <w:r>
        <w:rPr>
          <w:rFonts w:hint="eastAsia" w:eastAsia="仿宋_GB2312"/>
          <w:sz w:val="32"/>
          <w:szCs w:val="32"/>
          <w:highlight w:val="none"/>
          <w:u w:val="none"/>
          <w:lang w:val="en-US" w:eastAsia="zh-CN"/>
        </w:rPr>
        <w:t>0</w:t>
      </w:r>
      <w:r>
        <w:rPr>
          <w:rFonts w:eastAsia="仿宋_GB2312"/>
          <w:sz w:val="32"/>
          <w:szCs w:val="32"/>
          <w:highlight w:val="none"/>
          <w:u w:val="none"/>
        </w:rPr>
        <w:t xml:space="preserve"> 万元，增长</w:t>
      </w:r>
      <w:r>
        <w:rPr>
          <w:rFonts w:hint="eastAsia" w:eastAsia="仿宋_GB2312"/>
          <w:sz w:val="32"/>
          <w:szCs w:val="32"/>
          <w:highlight w:val="none"/>
          <w:u w:val="none"/>
          <w:lang w:val="en-US" w:eastAsia="zh-CN"/>
        </w:rPr>
        <w:t>0</w:t>
      </w:r>
      <w:r>
        <w:rPr>
          <w:rFonts w:eastAsia="仿宋_GB2312"/>
          <w:sz w:val="32"/>
          <w:szCs w:val="32"/>
          <w:highlight w:val="none"/>
          <w:u w:val="none"/>
        </w:rPr>
        <w:t xml:space="preserve">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。主要原因是</w:t>
      </w:r>
      <w:r>
        <w:rPr>
          <w:rFonts w:hint="eastAsia" w:ascii="仿宋_GB2312" w:hAnsi="仿宋_GB2312" w:eastAsia="仿宋_GB2312"/>
          <w:sz w:val="32"/>
          <w:szCs w:val="32"/>
          <w:highlight w:val="none"/>
          <w:u w:val="none"/>
          <w:lang w:val="en-US" w:eastAsia="zh-CN"/>
        </w:rPr>
        <w:t>我单位</w:t>
      </w:r>
      <w:r>
        <w:rPr>
          <w:rFonts w:hint="eastAsia" w:ascii="仿宋_GB2312" w:hAnsi="仿宋_GB2312" w:eastAsia="仿宋_GB2312"/>
          <w:sz w:val="32"/>
          <w:szCs w:val="24"/>
          <w:highlight w:val="none"/>
          <w:u w:val="none"/>
        </w:rPr>
        <w:t>不存在此项内容</w:t>
      </w:r>
      <w:r>
        <w:rPr>
          <w:rFonts w:eastAsia="仿宋_GB2312"/>
          <w:sz w:val="32"/>
          <w:szCs w:val="32"/>
          <w:highlight w:val="none"/>
          <w:u w:val="none"/>
        </w:rPr>
        <w:t>。</w:t>
      </w:r>
    </w:p>
    <w:p w14:paraId="40E82BEF">
      <w:pPr>
        <w:pStyle w:val="8"/>
        <w:tabs>
          <w:tab w:val="left" w:pos="3310"/>
          <w:tab w:val="left" w:pos="3807"/>
          <w:tab w:val="left" w:pos="9433"/>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 xml:space="preserve">（5）事业收入 </w:t>
      </w:r>
      <w:r>
        <w:rPr>
          <w:rFonts w:hint="eastAsia" w:eastAsia="仿宋_GB2312"/>
          <w:sz w:val="32"/>
          <w:szCs w:val="32"/>
          <w:highlight w:val="none"/>
          <w:u w:val="none"/>
          <w:lang w:val="en-US" w:eastAsia="zh-CN"/>
        </w:rPr>
        <w:t>15550.53</w:t>
      </w:r>
      <w:r>
        <w:rPr>
          <w:rFonts w:eastAsia="仿宋_GB2312"/>
          <w:sz w:val="32"/>
          <w:szCs w:val="32"/>
          <w:highlight w:val="none"/>
          <w:u w:val="none"/>
        </w:rPr>
        <w:t>万元，与上年相比</w:t>
      </w:r>
      <w:r>
        <w:rPr>
          <w:rFonts w:hint="eastAsia" w:eastAsia="仿宋_GB2312"/>
          <w:sz w:val="32"/>
          <w:szCs w:val="32"/>
          <w:highlight w:val="none"/>
          <w:u w:val="none"/>
          <w:lang w:val="en-US" w:eastAsia="zh-CN"/>
        </w:rPr>
        <w:t>增加418.63</w:t>
      </w:r>
      <w:r>
        <w:rPr>
          <w:rFonts w:eastAsia="仿宋_GB2312"/>
          <w:sz w:val="32"/>
          <w:szCs w:val="32"/>
          <w:highlight w:val="none"/>
          <w:u w:val="none"/>
        </w:rPr>
        <w:t>万元，</w:t>
      </w:r>
      <w:r>
        <w:rPr>
          <w:rFonts w:hint="eastAsia" w:eastAsia="仿宋_GB2312"/>
          <w:sz w:val="32"/>
          <w:szCs w:val="32"/>
          <w:highlight w:val="none"/>
          <w:u w:val="none"/>
          <w:lang w:val="en-US" w:eastAsia="zh-CN"/>
        </w:rPr>
        <w:t>增加2.77</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w:t>
      </w:r>
      <w:r>
        <w:rPr>
          <w:rFonts w:hint="eastAsia" w:eastAsia="仿宋_GB2312"/>
          <w:sz w:val="32"/>
          <w:szCs w:val="32"/>
          <w:highlight w:val="none"/>
          <w:u w:val="none"/>
          <w:lang w:val="en-US" w:eastAsia="zh-CN"/>
        </w:rPr>
        <w:t>主要原因是医院结合2025年度实际收入之后，预估2026年事业收入较2025年稳定增长</w:t>
      </w:r>
      <w:r>
        <w:rPr>
          <w:rFonts w:eastAsia="仿宋_GB2312"/>
          <w:sz w:val="32"/>
          <w:szCs w:val="32"/>
          <w:highlight w:val="none"/>
          <w:u w:val="none"/>
        </w:rPr>
        <w:t>。</w:t>
      </w:r>
    </w:p>
    <w:p w14:paraId="0F64625F">
      <w:pPr>
        <w:pStyle w:val="8"/>
        <w:tabs>
          <w:tab w:val="left" w:pos="1389"/>
          <w:tab w:val="left" w:pos="4911"/>
          <w:tab w:val="left" w:pos="5900"/>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（6）事业单位经营收入</w:t>
      </w:r>
      <w:r>
        <w:rPr>
          <w:rFonts w:hint="eastAsia" w:eastAsia="仿宋_GB2312"/>
          <w:sz w:val="32"/>
          <w:szCs w:val="32"/>
          <w:highlight w:val="none"/>
          <w:u w:val="none"/>
          <w:lang w:val="en-US" w:eastAsia="zh-CN"/>
        </w:rPr>
        <w:t>0</w:t>
      </w:r>
      <w:r>
        <w:rPr>
          <w:rFonts w:eastAsia="仿宋_GB2312"/>
          <w:sz w:val="32"/>
          <w:szCs w:val="32"/>
          <w:highlight w:val="none"/>
          <w:u w:val="none"/>
        </w:rPr>
        <w:t xml:space="preserve">万元，与上年相比增加 </w:t>
      </w:r>
      <w:r>
        <w:rPr>
          <w:rFonts w:hint="eastAsia" w:eastAsia="仿宋_GB2312"/>
          <w:sz w:val="32"/>
          <w:szCs w:val="32"/>
          <w:highlight w:val="none"/>
          <w:u w:val="none"/>
          <w:lang w:val="en-US" w:eastAsia="zh-CN"/>
        </w:rPr>
        <w:t>0</w:t>
      </w:r>
      <w:r>
        <w:rPr>
          <w:rFonts w:eastAsia="仿宋_GB2312"/>
          <w:sz w:val="32"/>
          <w:szCs w:val="32"/>
          <w:highlight w:val="none"/>
          <w:u w:val="none"/>
        </w:rPr>
        <w:t xml:space="preserve"> 万元，增长 </w:t>
      </w:r>
      <w:r>
        <w:rPr>
          <w:rFonts w:hint="eastAsia" w:eastAsia="仿宋_GB2312"/>
          <w:sz w:val="32"/>
          <w:szCs w:val="32"/>
          <w:highlight w:val="none"/>
          <w:u w:val="none"/>
          <w:lang w:val="en-US" w:eastAsia="zh-CN"/>
        </w:rPr>
        <w:t>0</w:t>
      </w:r>
      <w:r>
        <w:rPr>
          <w:rFonts w:eastAsia="仿宋_GB2312"/>
          <w:sz w:val="32"/>
          <w:szCs w:val="32"/>
          <w:highlight w:val="none"/>
          <w:u w:val="none"/>
        </w:rPr>
        <w:t xml:space="preserve">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。主要原因是</w:t>
      </w:r>
      <w:r>
        <w:rPr>
          <w:rFonts w:hint="eastAsia" w:ascii="仿宋_GB2312" w:hAnsi="仿宋_GB2312" w:eastAsia="仿宋_GB2312"/>
          <w:sz w:val="32"/>
          <w:szCs w:val="32"/>
          <w:highlight w:val="none"/>
          <w:u w:val="none"/>
          <w:lang w:val="en-US" w:eastAsia="zh-CN"/>
        </w:rPr>
        <w:t>我单位</w:t>
      </w:r>
      <w:r>
        <w:rPr>
          <w:rFonts w:hint="eastAsia" w:ascii="仿宋_GB2312" w:hAnsi="仿宋_GB2312" w:eastAsia="仿宋_GB2312"/>
          <w:sz w:val="32"/>
          <w:szCs w:val="24"/>
          <w:highlight w:val="none"/>
          <w:u w:val="none"/>
        </w:rPr>
        <w:t>不存在此项内容</w:t>
      </w:r>
      <w:r>
        <w:rPr>
          <w:rFonts w:eastAsia="仿宋_GB2312"/>
          <w:sz w:val="32"/>
          <w:szCs w:val="32"/>
          <w:highlight w:val="none"/>
          <w:u w:val="none"/>
        </w:rPr>
        <w:t>。</w:t>
      </w:r>
    </w:p>
    <w:p w14:paraId="3A7AE043">
      <w:pPr>
        <w:pStyle w:val="8"/>
        <w:tabs>
          <w:tab w:val="left" w:pos="4320"/>
          <w:tab w:val="left" w:pos="9433"/>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 xml:space="preserve">（7）上级补助收入 </w:t>
      </w:r>
      <w:r>
        <w:rPr>
          <w:rFonts w:hint="eastAsia" w:eastAsia="仿宋_GB2312"/>
          <w:sz w:val="32"/>
          <w:szCs w:val="32"/>
          <w:highlight w:val="none"/>
          <w:u w:val="none"/>
          <w:lang w:val="en-US" w:eastAsia="zh-CN"/>
        </w:rPr>
        <w:t>0</w:t>
      </w:r>
      <w:r>
        <w:rPr>
          <w:rFonts w:eastAsia="仿宋_GB2312"/>
          <w:sz w:val="32"/>
          <w:szCs w:val="32"/>
          <w:highlight w:val="none"/>
          <w:u w:val="none"/>
        </w:rPr>
        <w:t xml:space="preserve"> 万元，与上年相比增加 </w:t>
      </w:r>
      <w:r>
        <w:rPr>
          <w:rFonts w:hint="eastAsia" w:eastAsia="仿宋_GB2312"/>
          <w:sz w:val="32"/>
          <w:szCs w:val="32"/>
          <w:highlight w:val="none"/>
          <w:u w:val="none"/>
          <w:lang w:val="en-US" w:eastAsia="zh-CN"/>
        </w:rPr>
        <w:t>0</w:t>
      </w:r>
      <w:r>
        <w:rPr>
          <w:rFonts w:eastAsia="仿宋_GB2312"/>
          <w:sz w:val="32"/>
          <w:szCs w:val="32"/>
          <w:highlight w:val="none"/>
          <w:u w:val="none"/>
        </w:rPr>
        <w:t xml:space="preserve"> 万元，增长 </w:t>
      </w:r>
      <w:r>
        <w:rPr>
          <w:rFonts w:hint="eastAsia" w:eastAsia="仿宋_GB2312"/>
          <w:sz w:val="32"/>
          <w:szCs w:val="32"/>
          <w:highlight w:val="none"/>
          <w:u w:val="none"/>
          <w:lang w:val="en-US" w:eastAsia="zh-CN"/>
        </w:rPr>
        <w:t>0</w:t>
      </w:r>
      <w:r>
        <w:rPr>
          <w:rFonts w:eastAsia="仿宋_GB2312"/>
          <w:sz w:val="32"/>
          <w:szCs w:val="32"/>
          <w:highlight w:val="none"/>
          <w:u w:val="none"/>
        </w:rPr>
        <w:t xml:space="preserve">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。主要原因是</w:t>
      </w:r>
      <w:r>
        <w:rPr>
          <w:rFonts w:hint="eastAsia" w:ascii="仿宋_GB2312" w:hAnsi="仿宋_GB2312" w:eastAsia="仿宋_GB2312"/>
          <w:sz w:val="32"/>
          <w:szCs w:val="32"/>
          <w:highlight w:val="none"/>
          <w:u w:val="none"/>
          <w:lang w:val="en-US" w:eastAsia="zh-CN"/>
        </w:rPr>
        <w:t>我单位</w:t>
      </w:r>
      <w:r>
        <w:rPr>
          <w:rFonts w:hint="eastAsia" w:ascii="仿宋_GB2312" w:hAnsi="仿宋_GB2312" w:eastAsia="仿宋_GB2312"/>
          <w:sz w:val="32"/>
          <w:szCs w:val="24"/>
          <w:highlight w:val="none"/>
          <w:u w:val="none"/>
        </w:rPr>
        <w:t>不存在此项内容</w:t>
      </w:r>
      <w:r>
        <w:rPr>
          <w:rFonts w:eastAsia="仿宋_GB2312"/>
          <w:sz w:val="32"/>
          <w:szCs w:val="32"/>
          <w:highlight w:val="none"/>
          <w:u w:val="none"/>
        </w:rPr>
        <w:t>。</w:t>
      </w:r>
    </w:p>
    <w:p w14:paraId="0F443D79">
      <w:pPr>
        <w:pStyle w:val="8"/>
        <w:tabs>
          <w:tab w:val="left" w:pos="1389"/>
          <w:tab w:val="left" w:pos="4911"/>
          <w:tab w:val="left" w:pos="5900"/>
        </w:tabs>
        <w:spacing w:after="0" w:line="600" w:lineRule="exact"/>
        <w:ind w:firstLine="640" w:firstLineChars="200"/>
        <w:rPr>
          <w:rFonts w:hint="default" w:eastAsia="仿宋_GB2312"/>
          <w:sz w:val="32"/>
          <w:szCs w:val="32"/>
          <w:highlight w:val="none"/>
          <w:u w:val="none"/>
          <w:lang w:val="en-US" w:eastAsia="zh-CN"/>
        </w:rPr>
      </w:pPr>
      <w:r>
        <w:rPr>
          <w:rFonts w:eastAsia="仿宋_GB2312"/>
          <w:sz w:val="32"/>
          <w:szCs w:val="32"/>
          <w:highlight w:val="none"/>
          <w:u w:val="none"/>
        </w:rPr>
        <w:t xml:space="preserve">（8）附属单位上缴收入 </w:t>
      </w:r>
      <w:r>
        <w:rPr>
          <w:rFonts w:hint="eastAsia" w:eastAsia="仿宋_GB2312"/>
          <w:sz w:val="32"/>
          <w:szCs w:val="32"/>
          <w:highlight w:val="none"/>
          <w:u w:val="none"/>
          <w:lang w:val="en-US" w:eastAsia="zh-CN"/>
        </w:rPr>
        <w:t>0</w:t>
      </w:r>
      <w:r>
        <w:rPr>
          <w:rFonts w:eastAsia="仿宋_GB2312"/>
          <w:sz w:val="32"/>
          <w:szCs w:val="32"/>
          <w:highlight w:val="none"/>
          <w:u w:val="none"/>
        </w:rPr>
        <w:t xml:space="preserve"> 万元，与上年相比增加 </w:t>
      </w:r>
      <w:r>
        <w:rPr>
          <w:rFonts w:hint="eastAsia" w:eastAsia="仿宋_GB2312"/>
          <w:sz w:val="32"/>
          <w:szCs w:val="32"/>
          <w:highlight w:val="none"/>
          <w:u w:val="none"/>
          <w:lang w:val="en-US" w:eastAsia="zh-CN"/>
        </w:rPr>
        <w:t>0</w:t>
      </w:r>
      <w:r>
        <w:rPr>
          <w:rFonts w:eastAsia="仿宋_GB2312"/>
          <w:sz w:val="32"/>
          <w:szCs w:val="32"/>
          <w:highlight w:val="none"/>
          <w:u w:val="none"/>
        </w:rPr>
        <w:t xml:space="preserve"> 万元，增长 </w:t>
      </w:r>
      <w:r>
        <w:rPr>
          <w:rFonts w:hint="eastAsia" w:eastAsia="仿宋_GB2312"/>
          <w:sz w:val="32"/>
          <w:szCs w:val="32"/>
          <w:highlight w:val="none"/>
          <w:u w:val="none"/>
          <w:lang w:val="en-US" w:eastAsia="zh-CN"/>
        </w:rPr>
        <w:t>0</w:t>
      </w:r>
      <w:r>
        <w:rPr>
          <w:rFonts w:eastAsia="仿宋_GB2312"/>
          <w:sz w:val="32"/>
          <w:szCs w:val="32"/>
          <w:highlight w:val="none"/>
          <w:u w:val="none"/>
        </w:rPr>
        <w:t xml:space="preserve">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。主要原因是</w:t>
      </w:r>
      <w:r>
        <w:rPr>
          <w:rFonts w:hint="eastAsia" w:eastAsia="仿宋_GB2312"/>
          <w:sz w:val="32"/>
          <w:szCs w:val="32"/>
          <w:highlight w:val="none"/>
          <w:u w:val="none"/>
          <w:lang w:val="en-US" w:eastAsia="zh-CN"/>
        </w:rPr>
        <w:t>我单位</w:t>
      </w:r>
      <w:r>
        <w:rPr>
          <w:rFonts w:hint="eastAsia" w:ascii="仿宋_GB2312" w:hAnsi="仿宋_GB2312" w:eastAsia="仿宋_GB2312"/>
          <w:sz w:val="32"/>
          <w:szCs w:val="24"/>
          <w:highlight w:val="none"/>
          <w:u w:val="none"/>
        </w:rPr>
        <w:t>不存在此项内容</w:t>
      </w:r>
      <w:r>
        <w:rPr>
          <w:rFonts w:hint="eastAsia" w:eastAsia="仿宋_GB2312"/>
          <w:sz w:val="32"/>
          <w:szCs w:val="32"/>
          <w:highlight w:val="none"/>
          <w:u w:val="none"/>
          <w:lang w:val="en-US" w:eastAsia="zh-CN"/>
        </w:rPr>
        <w:t>。</w:t>
      </w:r>
    </w:p>
    <w:p w14:paraId="6DE91ED0">
      <w:pPr>
        <w:pStyle w:val="8"/>
        <w:tabs>
          <w:tab w:val="left" w:pos="3310"/>
          <w:tab w:val="left" w:pos="4121"/>
          <w:tab w:val="left" w:pos="9431"/>
        </w:tabs>
        <w:spacing w:after="0" w:line="600" w:lineRule="exact"/>
        <w:ind w:firstLine="640" w:firstLineChars="200"/>
        <w:rPr>
          <w:rFonts w:hint="default" w:eastAsia="仿宋_GB2312"/>
          <w:sz w:val="32"/>
          <w:szCs w:val="32"/>
          <w:highlight w:val="none"/>
          <w:u w:val="none"/>
          <w:lang w:val="en-US" w:eastAsia="zh-CN"/>
        </w:rPr>
      </w:pPr>
      <w:r>
        <w:rPr>
          <w:rFonts w:eastAsia="仿宋_GB2312"/>
          <w:sz w:val="32"/>
          <w:szCs w:val="32"/>
          <w:highlight w:val="none"/>
          <w:u w:val="none"/>
        </w:rPr>
        <w:t>（9）其他收入</w:t>
      </w:r>
      <w:r>
        <w:rPr>
          <w:rFonts w:hint="eastAsia" w:eastAsia="仿宋_GB2312"/>
          <w:sz w:val="32"/>
          <w:szCs w:val="32"/>
          <w:highlight w:val="none"/>
          <w:u w:val="none"/>
          <w:lang w:val="en-US" w:eastAsia="zh-CN"/>
        </w:rPr>
        <w:t>44.10</w:t>
      </w:r>
      <w:r>
        <w:rPr>
          <w:rFonts w:eastAsia="仿宋_GB2312"/>
          <w:sz w:val="32"/>
          <w:szCs w:val="32"/>
          <w:highlight w:val="none"/>
          <w:u w:val="none"/>
        </w:rPr>
        <w:t xml:space="preserve"> 万元，与上年相比增加 </w:t>
      </w:r>
      <w:r>
        <w:rPr>
          <w:rFonts w:hint="eastAsia" w:eastAsia="仿宋_GB2312"/>
          <w:sz w:val="32"/>
          <w:szCs w:val="32"/>
          <w:highlight w:val="none"/>
          <w:u w:val="none"/>
          <w:lang w:val="en-US" w:eastAsia="zh-CN"/>
        </w:rPr>
        <w:t>44.10</w:t>
      </w:r>
      <w:r>
        <w:rPr>
          <w:rFonts w:eastAsia="仿宋_GB2312"/>
          <w:sz w:val="32"/>
          <w:szCs w:val="32"/>
          <w:highlight w:val="none"/>
          <w:u w:val="none"/>
        </w:rPr>
        <w:t xml:space="preserve"> 万元，增长 </w:t>
      </w:r>
      <w:r>
        <w:rPr>
          <w:rFonts w:hint="eastAsia" w:eastAsia="仿宋_GB2312"/>
          <w:sz w:val="32"/>
          <w:szCs w:val="32"/>
          <w:highlight w:val="none"/>
          <w:u w:val="none"/>
          <w:lang w:val="en-US" w:eastAsia="zh-CN"/>
        </w:rPr>
        <w:t>100</w:t>
      </w:r>
      <w:r>
        <w:rPr>
          <w:rFonts w:eastAsia="仿宋_GB2312"/>
          <w:sz w:val="32"/>
          <w:szCs w:val="32"/>
          <w:highlight w:val="none"/>
          <w:u w:val="none"/>
        </w:rPr>
        <w:t xml:space="preserve">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。主要原因是</w:t>
      </w:r>
      <w:r>
        <w:rPr>
          <w:rFonts w:hint="eastAsia" w:eastAsia="仿宋_GB2312"/>
          <w:sz w:val="32"/>
          <w:szCs w:val="32"/>
          <w:highlight w:val="none"/>
          <w:u w:val="none"/>
          <w:lang w:val="en-US" w:eastAsia="zh-CN"/>
        </w:rPr>
        <w:t>本年度对医院科研收入、教学收入及其他租金收入进行了合理预估。</w:t>
      </w:r>
    </w:p>
    <w:p w14:paraId="1B7F78CD">
      <w:pPr>
        <w:pStyle w:val="8"/>
        <w:tabs>
          <w:tab w:val="left" w:pos="3310"/>
          <w:tab w:val="left" w:pos="4280"/>
          <w:tab w:val="left" w:pos="9431"/>
        </w:tabs>
        <w:spacing w:after="0" w:line="600" w:lineRule="exact"/>
        <w:ind w:firstLine="640" w:firstLineChars="200"/>
        <w:rPr>
          <w:rFonts w:hint="default" w:eastAsia="仿宋_GB2312"/>
          <w:sz w:val="32"/>
          <w:szCs w:val="32"/>
          <w:highlight w:val="none"/>
          <w:u w:val="none"/>
          <w:lang w:val="en-US" w:eastAsia="zh-CN"/>
        </w:rPr>
      </w:pPr>
      <w:r>
        <w:rPr>
          <w:rFonts w:eastAsia="仿宋_GB2312"/>
          <w:sz w:val="32"/>
          <w:szCs w:val="32"/>
          <w:highlight w:val="none"/>
          <w:u w:val="none"/>
        </w:rPr>
        <w:t xml:space="preserve">2．上年结转结余 </w:t>
      </w:r>
      <w:r>
        <w:rPr>
          <w:rFonts w:hint="eastAsia" w:eastAsia="仿宋_GB2312"/>
          <w:sz w:val="32"/>
          <w:szCs w:val="32"/>
          <w:highlight w:val="none"/>
          <w:u w:val="none"/>
          <w:lang w:val="en-US" w:eastAsia="zh-CN"/>
        </w:rPr>
        <w:t>123.90</w:t>
      </w:r>
      <w:r>
        <w:rPr>
          <w:rFonts w:eastAsia="仿宋_GB2312"/>
          <w:sz w:val="32"/>
          <w:szCs w:val="32"/>
          <w:highlight w:val="none"/>
          <w:u w:val="none"/>
        </w:rPr>
        <w:t>万元。与上年相比</w:t>
      </w:r>
      <w:r>
        <w:rPr>
          <w:rFonts w:hint="eastAsia" w:eastAsia="仿宋_GB2312"/>
          <w:sz w:val="32"/>
          <w:szCs w:val="32"/>
          <w:highlight w:val="none"/>
          <w:u w:val="none"/>
          <w:lang w:val="en-US" w:eastAsia="zh-CN"/>
        </w:rPr>
        <w:t>减少566.57</w:t>
      </w:r>
      <w:r>
        <w:rPr>
          <w:rFonts w:eastAsia="仿宋_GB2312"/>
          <w:sz w:val="32"/>
          <w:szCs w:val="32"/>
          <w:highlight w:val="none"/>
          <w:u w:val="none"/>
        </w:rPr>
        <w:t>万元，</w:t>
      </w:r>
      <w:r>
        <w:rPr>
          <w:rFonts w:hint="eastAsia" w:eastAsia="仿宋_GB2312"/>
          <w:sz w:val="32"/>
          <w:szCs w:val="32"/>
          <w:highlight w:val="none"/>
          <w:u w:val="none"/>
          <w:lang w:val="en-US" w:eastAsia="zh-CN"/>
        </w:rPr>
        <w:t>减少82.06</w:t>
      </w:r>
      <w:r>
        <w:rPr>
          <w:rFonts w:eastAsia="仿宋_GB2312"/>
          <w:sz w:val="32"/>
          <w:szCs w:val="32"/>
          <w:highlight w:val="none"/>
          <w:u w:val="none"/>
        </w:rPr>
        <w:t xml:space="preserve">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。主要原因是</w:t>
      </w:r>
      <w:r>
        <w:rPr>
          <w:rFonts w:hint="eastAsia" w:eastAsia="仿宋_GB2312"/>
          <w:sz w:val="32"/>
          <w:szCs w:val="32"/>
          <w:highlight w:val="none"/>
          <w:u w:val="none"/>
          <w:lang w:val="en-US" w:eastAsia="zh-CN"/>
        </w:rPr>
        <w:t>我单位2026年度预算中包含上年结转结余财政项目基于综合风险模型的结核病、糖尿病布病患者不良结局预测及分配管理体系构建项目资金20.10万元、自治区本级医疗卫生机构高质量发展项目10.80万元、2025年自然科学基金13万元及自有资金预算金额80万元。2025年度预算中包含上年结转结余财政项目690.47万元，为新冠疫情防控医务临时性工作补助资金、新冠患者救治费用财政补助资金及医疗服务与保障能力提升（医疗卫生机构能力建设、卫生健康人才培养）项目。</w:t>
      </w:r>
    </w:p>
    <w:p w14:paraId="4E413E5B">
      <w:pPr>
        <w:pStyle w:val="8"/>
        <w:tabs>
          <w:tab w:val="left" w:pos="4275"/>
        </w:tabs>
        <w:spacing w:after="0" w:line="600" w:lineRule="exact"/>
        <w:ind w:firstLine="643" w:firstLineChars="200"/>
        <w:rPr>
          <w:rFonts w:ascii="楷体" w:hAnsi="楷体" w:eastAsia="楷体" w:cs="楷体"/>
          <w:b/>
          <w:bCs/>
          <w:sz w:val="32"/>
          <w:szCs w:val="32"/>
          <w:highlight w:val="none"/>
          <w:u w:val="none"/>
        </w:rPr>
      </w:pPr>
      <w:r>
        <w:rPr>
          <w:rFonts w:hint="eastAsia" w:ascii="楷体" w:hAnsi="楷体" w:eastAsia="楷体" w:cs="楷体"/>
          <w:b/>
          <w:bCs/>
          <w:sz w:val="32"/>
          <w:szCs w:val="32"/>
          <w:highlight w:val="none"/>
          <w:u w:val="none"/>
        </w:rPr>
        <w:t>（二）支出预算总计</w:t>
      </w:r>
      <w:r>
        <w:rPr>
          <w:rFonts w:hint="eastAsia" w:ascii="Times New Roman" w:hAnsi="Times New Roman" w:eastAsia="仿宋_GB2312" w:cs="仿宋"/>
          <w:sz w:val="32"/>
          <w:szCs w:val="32"/>
          <w:highlight w:val="none"/>
          <w:u w:val="none"/>
        </w:rPr>
        <w:t xml:space="preserve"> </w:t>
      </w:r>
      <w:r>
        <w:rPr>
          <w:rFonts w:hint="eastAsia" w:eastAsia="仿宋_GB2312" w:cs="仿宋"/>
          <w:sz w:val="32"/>
          <w:szCs w:val="32"/>
          <w:highlight w:val="none"/>
          <w:u w:val="none"/>
          <w:lang w:val="en-US" w:eastAsia="zh-CN"/>
        </w:rPr>
        <w:t>29465.83</w:t>
      </w:r>
      <w:r>
        <w:rPr>
          <w:rFonts w:hint="eastAsia" w:ascii="楷体" w:hAnsi="楷体" w:eastAsia="楷体" w:cs="楷体"/>
          <w:b/>
          <w:bCs/>
          <w:sz w:val="32"/>
          <w:szCs w:val="32"/>
          <w:highlight w:val="none"/>
          <w:u w:val="none"/>
        </w:rPr>
        <w:t>万元。包括：</w:t>
      </w:r>
    </w:p>
    <w:p w14:paraId="69F65FED">
      <w:pPr>
        <w:pStyle w:val="8"/>
        <w:tabs>
          <w:tab w:val="left" w:pos="3792"/>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 xml:space="preserve">1．本年支出合计 </w:t>
      </w:r>
      <w:r>
        <w:rPr>
          <w:rFonts w:hint="eastAsia" w:eastAsia="仿宋_GB2312"/>
          <w:sz w:val="32"/>
          <w:szCs w:val="32"/>
          <w:highlight w:val="none"/>
          <w:u w:val="none"/>
          <w:lang w:val="en-US" w:eastAsia="zh-CN"/>
        </w:rPr>
        <w:t>21668.29</w:t>
      </w:r>
      <w:r>
        <w:rPr>
          <w:rFonts w:eastAsia="仿宋_GB2312"/>
          <w:sz w:val="32"/>
          <w:szCs w:val="32"/>
          <w:highlight w:val="none"/>
          <w:u w:val="none"/>
        </w:rPr>
        <w:t xml:space="preserve"> 万元。</w:t>
      </w:r>
    </w:p>
    <w:p w14:paraId="047D0AB0">
      <w:pPr>
        <w:pStyle w:val="8"/>
        <w:tabs>
          <w:tab w:val="left" w:pos="3288"/>
          <w:tab w:val="left" w:pos="5641"/>
          <w:tab w:val="left" w:pos="6778"/>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（1）</w:t>
      </w:r>
      <w:r>
        <w:rPr>
          <w:rFonts w:hint="eastAsia" w:eastAsia="仿宋_GB2312"/>
          <w:sz w:val="32"/>
          <w:szCs w:val="32"/>
          <w:highlight w:val="none"/>
          <w:u w:val="none"/>
          <w:lang w:val="en-US" w:eastAsia="zh-CN"/>
        </w:rPr>
        <w:t>社会保障和就业支出</w:t>
      </w:r>
      <w:r>
        <w:rPr>
          <w:rFonts w:eastAsia="仿宋_GB2312"/>
          <w:sz w:val="32"/>
          <w:szCs w:val="32"/>
          <w:highlight w:val="none"/>
          <w:u w:val="none"/>
        </w:rPr>
        <w:t xml:space="preserve">（类）支出 </w:t>
      </w:r>
      <w:r>
        <w:rPr>
          <w:rFonts w:hint="eastAsia" w:eastAsia="仿宋_GB2312"/>
          <w:sz w:val="32"/>
          <w:szCs w:val="32"/>
          <w:highlight w:val="none"/>
          <w:u w:val="none"/>
          <w:lang w:val="en-US" w:eastAsia="zh-CN"/>
        </w:rPr>
        <w:t>292.98</w:t>
      </w:r>
      <w:r>
        <w:rPr>
          <w:rFonts w:eastAsia="仿宋_GB2312"/>
          <w:sz w:val="32"/>
          <w:szCs w:val="32"/>
          <w:highlight w:val="none"/>
          <w:u w:val="none"/>
        </w:rPr>
        <w:t xml:space="preserve"> 万元，主要用于</w:t>
      </w:r>
      <w:r>
        <w:rPr>
          <w:rFonts w:hint="eastAsia" w:eastAsia="仿宋_GB2312"/>
          <w:sz w:val="32"/>
          <w:szCs w:val="32"/>
          <w:highlight w:val="none"/>
          <w:u w:val="none"/>
          <w:lang w:val="en-US" w:eastAsia="zh-CN"/>
        </w:rPr>
        <w:t>对个人和家庭的补助支出，包括离退休费、离退休生活补助等</w:t>
      </w:r>
      <w:r>
        <w:rPr>
          <w:rFonts w:eastAsia="仿宋_GB2312"/>
          <w:sz w:val="32"/>
          <w:szCs w:val="32"/>
          <w:highlight w:val="none"/>
          <w:u w:val="none"/>
        </w:rPr>
        <w:t xml:space="preserve">。与上年相比减少 </w:t>
      </w:r>
      <w:r>
        <w:rPr>
          <w:rFonts w:hint="eastAsia" w:eastAsia="仿宋_GB2312"/>
          <w:sz w:val="32"/>
          <w:szCs w:val="32"/>
          <w:highlight w:val="none"/>
          <w:u w:val="none"/>
          <w:lang w:val="en-US" w:eastAsia="zh-CN"/>
        </w:rPr>
        <w:t>9.62</w:t>
      </w:r>
      <w:r>
        <w:rPr>
          <w:rFonts w:eastAsia="仿宋_GB2312"/>
          <w:sz w:val="32"/>
          <w:szCs w:val="32"/>
          <w:highlight w:val="none"/>
          <w:u w:val="none"/>
        </w:rPr>
        <w:t xml:space="preserve"> 万元，减少 </w:t>
      </w:r>
      <w:r>
        <w:rPr>
          <w:rFonts w:hint="eastAsia" w:eastAsia="仿宋_GB2312"/>
          <w:sz w:val="32"/>
          <w:szCs w:val="32"/>
          <w:highlight w:val="none"/>
          <w:u w:val="none"/>
          <w:lang w:val="en-US" w:eastAsia="zh-CN"/>
        </w:rPr>
        <w:t>3.18</w:t>
      </w:r>
      <w:r>
        <w:rPr>
          <w:rFonts w:eastAsia="仿宋_GB2312"/>
          <w:sz w:val="32"/>
          <w:szCs w:val="32"/>
          <w:highlight w:val="none"/>
          <w:u w:val="none"/>
        </w:rPr>
        <w:t xml:space="preserve">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。主要原因是</w:t>
      </w:r>
      <w:r>
        <w:rPr>
          <w:rFonts w:hint="eastAsia" w:eastAsia="仿宋_GB2312"/>
          <w:sz w:val="32"/>
          <w:szCs w:val="32"/>
          <w:highlight w:val="none"/>
          <w:u w:val="none"/>
          <w:lang w:val="en-US" w:eastAsia="zh-CN"/>
        </w:rPr>
        <w:t>2026年度退休人员增加，离休干部减少导致相应费用的减少</w:t>
      </w:r>
      <w:r>
        <w:rPr>
          <w:rFonts w:eastAsia="仿宋_GB2312"/>
          <w:sz w:val="32"/>
          <w:szCs w:val="32"/>
          <w:highlight w:val="none"/>
          <w:u w:val="none"/>
        </w:rPr>
        <w:t>。</w:t>
      </w:r>
    </w:p>
    <w:p w14:paraId="03F3CF73">
      <w:pPr>
        <w:pStyle w:val="8"/>
        <w:tabs>
          <w:tab w:val="left" w:pos="2671"/>
          <w:tab w:val="left" w:pos="5000"/>
          <w:tab w:val="left" w:pos="6190"/>
        </w:tabs>
        <w:spacing w:after="0" w:line="600" w:lineRule="exact"/>
        <w:ind w:firstLine="640" w:firstLineChars="200"/>
        <w:rPr>
          <w:rFonts w:hint="eastAsia" w:eastAsia="仿宋_GB2312"/>
          <w:sz w:val="32"/>
          <w:szCs w:val="32"/>
          <w:highlight w:val="none"/>
          <w:u w:val="none"/>
          <w:lang w:val="en-US" w:eastAsia="zh-CN"/>
        </w:rPr>
      </w:pPr>
      <w:r>
        <w:rPr>
          <w:rFonts w:eastAsia="仿宋_GB2312"/>
          <w:sz w:val="32"/>
          <w:szCs w:val="32"/>
          <w:highlight w:val="none"/>
          <w:u w:val="none"/>
        </w:rPr>
        <w:t>（2）</w:t>
      </w:r>
      <w:r>
        <w:rPr>
          <w:rFonts w:hint="eastAsia" w:eastAsia="仿宋_GB2312"/>
          <w:sz w:val="32"/>
          <w:szCs w:val="32"/>
          <w:highlight w:val="none"/>
          <w:u w:val="none"/>
          <w:lang w:val="en-US" w:eastAsia="zh-CN"/>
        </w:rPr>
        <w:t>卫生健康支出</w:t>
      </w:r>
      <w:r>
        <w:rPr>
          <w:rFonts w:eastAsia="仿宋_GB2312"/>
          <w:sz w:val="32"/>
          <w:szCs w:val="32"/>
          <w:highlight w:val="none"/>
          <w:u w:val="none"/>
        </w:rPr>
        <w:t>（类）支出</w:t>
      </w:r>
      <w:r>
        <w:rPr>
          <w:rFonts w:hint="eastAsia" w:eastAsia="仿宋_GB2312"/>
          <w:sz w:val="32"/>
          <w:szCs w:val="32"/>
          <w:highlight w:val="none"/>
          <w:u w:val="none"/>
          <w:lang w:val="en-US" w:eastAsia="zh-CN"/>
        </w:rPr>
        <w:t>29059.75</w:t>
      </w:r>
      <w:r>
        <w:rPr>
          <w:rFonts w:eastAsia="仿宋_GB2312"/>
          <w:sz w:val="32"/>
          <w:szCs w:val="32"/>
          <w:highlight w:val="none"/>
          <w:u w:val="none"/>
        </w:rPr>
        <w:t>万元，主要用于</w:t>
      </w:r>
      <w:r>
        <w:rPr>
          <w:rFonts w:hint="eastAsia" w:ascii="仿宋_GB2312" w:hAnsi="仿宋_GB2312" w:eastAsia="仿宋_GB2312"/>
          <w:sz w:val="32"/>
          <w:szCs w:val="32"/>
          <w:highlight w:val="none"/>
          <w:u w:val="none"/>
          <w:lang w:val="en-US" w:eastAsia="zh-CN"/>
        </w:rPr>
        <w:t>医院的人员经费、运转经费等各项支出</w:t>
      </w:r>
      <w:r>
        <w:rPr>
          <w:rFonts w:eastAsia="仿宋_GB2312"/>
          <w:sz w:val="32"/>
          <w:szCs w:val="32"/>
          <w:highlight w:val="none"/>
          <w:u w:val="none"/>
        </w:rPr>
        <w:t>。与上年相比</w:t>
      </w:r>
      <w:r>
        <w:rPr>
          <w:rFonts w:hint="eastAsia" w:eastAsia="仿宋_GB2312"/>
          <w:sz w:val="32"/>
          <w:szCs w:val="32"/>
          <w:highlight w:val="none"/>
          <w:u w:val="none"/>
          <w:lang w:val="en-US" w:eastAsia="zh-CN"/>
        </w:rPr>
        <w:t>增加7694.06</w:t>
      </w:r>
      <w:r>
        <w:rPr>
          <w:rFonts w:eastAsia="仿宋_GB2312"/>
          <w:sz w:val="32"/>
          <w:szCs w:val="32"/>
          <w:highlight w:val="none"/>
          <w:u w:val="none"/>
        </w:rPr>
        <w:t>万元，</w:t>
      </w:r>
      <w:r>
        <w:rPr>
          <w:rFonts w:hint="eastAsia" w:eastAsia="仿宋_GB2312"/>
          <w:sz w:val="32"/>
          <w:szCs w:val="32"/>
          <w:highlight w:val="none"/>
          <w:u w:val="none"/>
          <w:lang w:val="en-US" w:eastAsia="zh-CN"/>
        </w:rPr>
        <w:t>增加36.01</w:t>
      </w:r>
      <w:r>
        <w:rPr>
          <w:rFonts w:eastAsia="仿宋_GB2312"/>
          <w:sz w:val="32"/>
          <w:szCs w:val="32"/>
          <w:highlight w:val="none"/>
          <w:u w:val="none"/>
        </w:rPr>
        <w:t xml:space="preserve">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。主要原因是</w:t>
      </w:r>
      <w:r>
        <w:rPr>
          <w:rFonts w:hint="eastAsia" w:eastAsia="仿宋_GB2312"/>
          <w:sz w:val="32"/>
          <w:szCs w:val="32"/>
          <w:highlight w:val="none"/>
          <w:u w:val="none"/>
          <w:lang w:val="en-US" w:eastAsia="zh-CN"/>
        </w:rPr>
        <w:t>2026年新增内蒙古自治区第四医院传染病大楼开办经费项目6936万元以及其他项目支出的增减。</w:t>
      </w:r>
    </w:p>
    <w:p w14:paraId="5E4BCBDB">
      <w:pPr>
        <w:pStyle w:val="8"/>
        <w:tabs>
          <w:tab w:val="left" w:pos="2671"/>
          <w:tab w:val="left" w:pos="5000"/>
          <w:tab w:val="left" w:pos="6190"/>
        </w:tabs>
        <w:spacing w:after="0" w:line="600" w:lineRule="exact"/>
        <w:ind w:firstLine="640" w:firstLineChars="200"/>
        <w:rPr>
          <w:rFonts w:hint="default" w:eastAsia="仿宋_GB2312"/>
          <w:sz w:val="32"/>
          <w:szCs w:val="32"/>
          <w:highlight w:val="none"/>
          <w:u w:val="none"/>
          <w:lang w:val="en-US" w:eastAsia="zh-CN"/>
        </w:rPr>
      </w:pPr>
      <w:r>
        <w:rPr>
          <w:rFonts w:hint="eastAsia" w:eastAsia="仿宋_GB2312"/>
          <w:sz w:val="32"/>
          <w:szCs w:val="32"/>
          <w:highlight w:val="none"/>
          <w:u w:val="none"/>
          <w:lang w:val="en-US" w:eastAsia="zh-CN"/>
        </w:rPr>
        <w:t>（3）科学技术支出（类）支出33.10万元，主要为医院承担的自然科学基金项目13万元，及承担的科技厅科研项目：基于综合风险模型的结核病、糖尿病布病患者不良结局预测及分配管理体系构建20.1万元。</w:t>
      </w:r>
    </w:p>
    <w:p w14:paraId="2DA444B2">
      <w:pPr>
        <w:pStyle w:val="8"/>
        <w:tabs>
          <w:tab w:val="left" w:pos="4112"/>
        </w:tabs>
        <w:spacing w:after="0" w:line="600" w:lineRule="exact"/>
        <w:ind w:firstLine="640" w:firstLineChars="200"/>
        <w:rPr>
          <w:rFonts w:hint="default" w:eastAsia="仿宋_GB2312"/>
          <w:sz w:val="32"/>
          <w:szCs w:val="32"/>
          <w:highlight w:val="none"/>
          <w:u w:val="none"/>
          <w:lang w:val="en-US"/>
        </w:rPr>
      </w:pPr>
      <w:r>
        <w:rPr>
          <w:rFonts w:eastAsia="仿宋_GB2312"/>
          <w:sz w:val="32"/>
          <w:szCs w:val="32"/>
          <w:highlight w:val="none"/>
          <w:u w:val="none"/>
        </w:rPr>
        <w:t>2．年终结转结余</w:t>
      </w:r>
      <w:r>
        <w:rPr>
          <w:rFonts w:hint="eastAsia" w:eastAsia="仿宋_GB2312"/>
          <w:sz w:val="32"/>
          <w:szCs w:val="32"/>
          <w:highlight w:val="none"/>
          <w:u w:val="none"/>
          <w:lang w:val="en-US" w:eastAsia="zh-CN"/>
        </w:rPr>
        <w:t>80</w:t>
      </w:r>
      <w:r>
        <w:rPr>
          <w:rFonts w:eastAsia="仿宋_GB2312"/>
          <w:sz w:val="32"/>
          <w:szCs w:val="32"/>
          <w:highlight w:val="none"/>
          <w:u w:val="none"/>
        </w:rPr>
        <w:t>万元，主要原因是</w:t>
      </w:r>
      <w:r>
        <w:rPr>
          <w:rFonts w:hint="eastAsia" w:ascii="仿宋_GB2312" w:hAnsi="仿宋_GB2312" w:eastAsia="仿宋_GB2312"/>
          <w:sz w:val="32"/>
          <w:szCs w:val="32"/>
          <w:highlight w:val="none"/>
          <w:u w:val="none"/>
          <w:lang w:val="en-US" w:eastAsia="zh-CN"/>
        </w:rPr>
        <w:t>医院本着收支平衡略有结余的安排进行预算，预计年终结转结余80万元。</w:t>
      </w:r>
    </w:p>
    <w:p w14:paraId="6D4D415C">
      <w:pPr>
        <w:spacing w:line="600" w:lineRule="exact"/>
        <w:ind w:left="0" w:leftChars="0" w:firstLine="640" w:firstLineChars="200"/>
        <w:outlineLvl w:val="2"/>
        <w:rPr>
          <w:rFonts w:eastAsia="黑体" w:cs="黑体"/>
          <w:sz w:val="32"/>
          <w:szCs w:val="36"/>
          <w:highlight w:val="none"/>
          <w:u w:val="none"/>
        </w:rPr>
      </w:pPr>
      <w:r>
        <w:rPr>
          <w:rFonts w:hint="eastAsia" w:eastAsia="黑体" w:cs="黑体"/>
          <w:sz w:val="32"/>
          <w:szCs w:val="36"/>
          <w:highlight w:val="none"/>
          <w:u w:val="none"/>
        </w:rPr>
        <w:t>二、收入预算情况说明</w:t>
      </w:r>
    </w:p>
    <w:p w14:paraId="5AFA1132">
      <w:pPr>
        <w:pStyle w:val="8"/>
        <w:tabs>
          <w:tab w:val="left" w:pos="2671"/>
          <w:tab w:val="left" w:pos="5000"/>
          <w:tab w:val="left" w:pos="6190"/>
        </w:tabs>
        <w:spacing w:after="0" w:line="600" w:lineRule="exact"/>
        <w:ind w:firstLine="640" w:firstLineChars="200"/>
        <w:rPr>
          <w:rFonts w:eastAsia="仿宋_GB2312"/>
          <w:sz w:val="32"/>
          <w:szCs w:val="32"/>
          <w:highlight w:val="none"/>
          <w:u w:val="none"/>
        </w:rPr>
      </w:pPr>
      <w:r>
        <w:rPr>
          <w:rFonts w:hint="eastAsia" w:ascii="仿宋_GB2312" w:hAnsi="仿宋_GB2312" w:eastAsia="仿宋_GB2312" w:cs="仿宋_GB2312"/>
          <w:sz w:val="32"/>
          <w:szCs w:val="32"/>
          <w:highlight w:val="none"/>
          <w:u w:val="none"/>
          <w:lang w:val="en-US" w:eastAsia="zh-CN"/>
        </w:rPr>
        <w:t>内蒙古自治区第四医院（内蒙古自治区胸科医院、内蒙古自治区公共卫生突发事件医疗救治中心）</w:t>
      </w:r>
      <w:r>
        <w:rPr>
          <w:rFonts w:hint="eastAsia" w:ascii="仿宋_GB2312" w:hAnsi="仿宋_GB2312" w:eastAsia="仿宋_GB2312" w:cs="仿宋_GB2312"/>
          <w:sz w:val="32"/>
          <w:szCs w:val="32"/>
          <w:highlight w:val="none"/>
          <w:u w:val="none"/>
        </w:rPr>
        <w:t>年度</w:t>
      </w:r>
      <w:r>
        <w:rPr>
          <w:rFonts w:eastAsia="仿宋_GB2312"/>
          <w:sz w:val="32"/>
          <w:szCs w:val="32"/>
          <w:highlight w:val="none"/>
          <w:u w:val="none"/>
        </w:rPr>
        <w:t>收入预算</w:t>
      </w:r>
      <w:r>
        <w:rPr>
          <w:rFonts w:hint="eastAsia" w:eastAsia="仿宋_GB2312"/>
          <w:sz w:val="32"/>
          <w:szCs w:val="32"/>
          <w:highlight w:val="none"/>
          <w:u w:val="none"/>
          <w:lang w:val="en-US" w:eastAsia="zh-CN"/>
        </w:rPr>
        <w:t>总</w:t>
      </w:r>
      <w:r>
        <w:rPr>
          <w:rFonts w:eastAsia="仿宋_GB2312"/>
          <w:sz w:val="32"/>
          <w:szCs w:val="32"/>
          <w:highlight w:val="none"/>
          <w:u w:val="none"/>
        </w:rPr>
        <w:t>计</w:t>
      </w:r>
      <w:r>
        <w:rPr>
          <w:rFonts w:hint="eastAsia" w:eastAsia="仿宋_GB2312"/>
          <w:sz w:val="32"/>
          <w:szCs w:val="32"/>
          <w:highlight w:val="none"/>
          <w:u w:val="none"/>
          <w:lang w:val="en-US" w:eastAsia="zh-CN"/>
        </w:rPr>
        <w:t>29465.83</w:t>
      </w:r>
      <w:r>
        <w:rPr>
          <w:rFonts w:eastAsia="仿宋_GB2312"/>
          <w:sz w:val="32"/>
          <w:szCs w:val="32"/>
          <w:highlight w:val="none"/>
          <w:u w:val="none"/>
        </w:rPr>
        <w:t>万元，包括本年收入</w:t>
      </w:r>
      <w:r>
        <w:rPr>
          <w:rFonts w:hint="eastAsia" w:eastAsia="仿宋_GB2312"/>
          <w:sz w:val="32"/>
          <w:szCs w:val="32"/>
          <w:highlight w:val="none"/>
          <w:u w:val="none"/>
          <w:lang w:val="en-US" w:eastAsia="zh-CN"/>
        </w:rPr>
        <w:t>29341.93</w:t>
      </w:r>
      <w:r>
        <w:rPr>
          <w:rFonts w:eastAsia="仿宋_GB2312"/>
          <w:sz w:val="32"/>
          <w:szCs w:val="32"/>
          <w:highlight w:val="none"/>
          <w:u w:val="none"/>
        </w:rPr>
        <w:t xml:space="preserve">万元，上年结转结余     </w:t>
      </w:r>
      <w:r>
        <w:rPr>
          <w:rFonts w:hint="eastAsia" w:eastAsia="仿宋_GB2312"/>
          <w:sz w:val="32"/>
          <w:szCs w:val="32"/>
          <w:highlight w:val="none"/>
          <w:u w:val="none"/>
          <w:lang w:val="en-US" w:eastAsia="zh-CN"/>
        </w:rPr>
        <w:t>123.90</w:t>
      </w:r>
      <w:r>
        <w:rPr>
          <w:rFonts w:eastAsia="仿宋_GB2312"/>
          <w:sz w:val="32"/>
          <w:szCs w:val="32"/>
          <w:highlight w:val="none"/>
          <w:u w:val="none"/>
        </w:rPr>
        <w:t>万元。其中：</w:t>
      </w:r>
    </w:p>
    <w:p w14:paraId="5CEB963C">
      <w:pPr>
        <w:pStyle w:val="8"/>
        <w:tabs>
          <w:tab w:val="left" w:pos="2671"/>
          <w:tab w:val="left" w:pos="5000"/>
          <w:tab w:val="left" w:pos="6190"/>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本年一般公共预算收入</w:t>
      </w:r>
      <w:r>
        <w:rPr>
          <w:rFonts w:hint="eastAsia" w:eastAsia="仿宋_GB2312"/>
          <w:sz w:val="32"/>
          <w:szCs w:val="32"/>
          <w:highlight w:val="none"/>
          <w:u w:val="none"/>
          <w:lang w:val="en-US" w:eastAsia="zh-CN"/>
        </w:rPr>
        <w:t>13747.30</w:t>
      </w:r>
      <w:r>
        <w:rPr>
          <w:rFonts w:eastAsia="仿宋_GB2312"/>
          <w:sz w:val="32"/>
          <w:szCs w:val="32"/>
          <w:highlight w:val="none"/>
          <w:u w:val="none"/>
        </w:rPr>
        <w:t>万元，占</w:t>
      </w:r>
      <w:r>
        <w:rPr>
          <w:rFonts w:hint="eastAsia" w:eastAsia="仿宋_GB2312"/>
          <w:sz w:val="32"/>
          <w:szCs w:val="32"/>
          <w:highlight w:val="none"/>
          <w:u w:val="none"/>
          <w:lang w:val="en-US" w:eastAsia="zh-CN"/>
        </w:rPr>
        <w:t>46.66</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w:t>
      </w:r>
    </w:p>
    <w:p w14:paraId="761C428D">
      <w:pPr>
        <w:pStyle w:val="8"/>
        <w:tabs>
          <w:tab w:val="left" w:pos="2671"/>
          <w:tab w:val="left" w:pos="5000"/>
          <w:tab w:val="left" w:pos="6190"/>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 xml:space="preserve">本年政府性基金预算收入 </w:t>
      </w:r>
      <w:r>
        <w:rPr>
          <w:rFonts w:hint="eastAsia" w:eastAsia="仿宋_GB2312"/>
          <w:sz w:val="32"/>
          <w:szCs w:val="32"/>
          <w:highlight w:val="none"/>
          <w:u w:val="none"/>
          <w:lang w:val="en-US" w:eastAsia="zh-CN"/>
        </w:rPr>
        <w:t>0</w:t>
      </w:r>
      <w:r>
        <w:rPr>
          <w:rFonts w:eastAsia="仿宋_GB2312"/>
          <w:sz w:val="32"/>
          <w:szCs w:val="32"/>
          <w:highlight w:val="none"/>
          <w:u w:val="none"/>
        </w:rPr>
        <w:t xml:space="preserve">万元，占 </w:t>
      </w:r>
      <w:r>
        <w:rPr>
          <w:rFonts w:hint="eastAsia" w:eastAsia="仿宋_GB2312"/>
          <w:sz w:val="32"/>
          <w:szCs w:val="32"/>
          <w:highlight w:val="none"/>
          <w:u w:val="none"/>
          <w:lang w:val="en-US" w:eastAsia="zh-CN"/>
        </w:rPr>
        <w:t xml:space="preserve">0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w:t>
      </w:r>
    </w:p>
    <w:p w14:paraId="767E519C">
      <w:pPr>
        <w:pStyle w:val="8"/>
        <w:tabs>
          <w:tab w:val="left" w:pos="2671"/>
          <w:tab w:val="left" w:pos="5000"/>
          <w:tab w:val="left" w:pos="6190"/>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 xml:space="preserve">本年国有资本经营预算收入 </w:t>
      </w:r>
      <w:r>
        <w:rPr>
          <w:rFonts w:hint="eastAsia" w:eastAsia="仿宋_GB2312"/>
          <w:sz w:val="32"/>
          <w:szCs w:val="32"/>
          <w:highlight w:val="none"/>
          <w:u w:val="none"/>
          <w:lang w:val="en-US" w:eastAsia="zh-CN"/>
        </w:rPr>
        <w:t>0</w:t>
      </w:r>
      <w:r>
        <w:rPr>
          <w:rFonts w:eastAsia="仿宋_GB2312"/>
          <w:sz w:val="32"/>
          <w:szCs w:val="32"/>
          <w:highlight w:val="none"/>
          <w:u w:val="none"/>
        </w:rPr>
        <w:t xml:space="preserve">万元，占 </w:t>
      </w:r>
      <w:r>
        <w:rPr>
          <w:rFonts w:hint="eastAsia" w:eastAsia="仿宋_GB2312"/>
          <w:sz w:val="32"/>
          <w:szCs w:val="32"/>
          <w:highlight w:val="none"/>
          <w:u w:val="none"/>
          <w:lang w:val="en-US" w:eastAsia="zh-CN"/>
        </w:rPr>
        <w:t xml:space="preserve">0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w:t>
      </w:r>
    </w:p>
    <w:p w14:paraId="140083BB">
      <w:pPr>
        <w:pStyle w:val="8"/>
        <w:tabs>
          <w:tab w:val="left" w:pos="2671"/>
          <w:tab w:val="left" w:pos="5000"/>
          <w:tab w:val="left" w:pos="6190"/>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 xml:space="preserve">本年财政专户管理资金 </w:t>
      </w:r>
      <w:r>
        <w:rPr>
          <w:rFonts w:hint="eastAsia" w:eastAsia="仿宋_GB2312"/>
          <w:sz w:val="32"/>
          <w:szCs w:val="32"/>
          <w:highlight w:val="none"/>
          <w:u w:val="none"/>
          <w:lang w:val="en-US" w:eastAsia="zh-CN"/>
        </w:rPr>
        <w:t>0</w:t>
      </w:r>
      <w:r>
        <w:rPr>
          <w:rFonts w:eastAsia="仿宋_GB2312"/>
          <w:sz w:val="32"/>
          <w:szCs w:val="32"/>
          <w:highlight w:val="none"/>
          <w:u w:val="none"/>
        </w:rPr>
        <w:t xml:space="preserve">万元，占 </w:t>
      </w:r>
      <w:r>
        <w:rPr>
          <w:rFonts w:hint="eastAsia" w:eastAsia="仿宋_GB2312"/>
          <w:sz w:val="32"/>
          <w:szCs w:val="32"/>
          <w:highlight w:val="none"/>
          <w:u w:val="none"/>
          <w:lang w:val="en-US" w:eastAsia="zh-CN"/>
        </w:rPr>
        <w:t xml:space="preserve">0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w:t>
      </w:r>
    </w:p>
    <w:p w14:paraId="56BC9973">
      <w:pPr>
        <w:pStyle w:val="8"/>
        <w:tabs>
          <w:tab w:val="left" w:pos="2671"/>
          <w:tab w:val="left" w:pos="5000"/>
          <w:tab w:val="left" w:pos="6190"/>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 xml:space="preserve">本年事业收入 </w:t>
      </w:r>
      <w:r>
        <w:rPr>
          <w:rFonts w:hint="eastAsia" w:eastAsia="仿宋_GB2312"/>
          <w:sz w:val="32"/>
          <w:szCs w:val="32"/>
          <w:highlight w:val="none"/>
          <w:u w:val="none"/>
          <w:lang w:val="en-US" w:eastAsia="zh-CN"/>
        </w:rPr>
        <w:t>15550.53</w:t>
      </w:r>
      <w:r>
        <w:rPr>
          <w:rFonts w:eastAsia="仿宋_GB2312"/>
          <w:sz w:val="32"/>
          <w:szCs w:val="32"/>
          <w:highlight w:val="none"/>
          <w:u w:val="none"/>
        </w:rPr>
        <w:t>万元，占</w:t>
      </w:r>
      <w:r>
        <w:rPr>
          <w:rFonts w:hint="eastAsia" w:eastAsia="仿宋_GB2312"/>
          <w:sz w:val="32"/>
          <w:szCs w:val="32"/>
          <w:highlight w:val="none"/>
          <w:u w:val="none"/>
          <w:lang w:val="en-US" w:eastAsia="zh-CN"/>
        </w:rPr>
        <w:t xml:space="preserve">52.77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w:t>
      </w:r>
    </w:p>
    <w:p w14:paraId="3F4A0672">
      <w:pPr>
        <w:pStyle w:val="8"/>
        <w:tabs>
          <w:tab w:val="left" w:pos="2671"/>
          <w:tab w:val="left" w:pos="5000"/>
          <w:tab w:val="left" w:pos="6190"/>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 xml:space="preserve">本年事业单位经营收入 </w:t>
      </w:r>
      <w:r>
        <w:rPr>
          <w:rFonts w:hint="eastAsia" w:eastAsia="仿宋_GB2312"/>
          <w:sz w:val="32"/>
          <w:szCs w:val="32"/>
          <w:highlight w:val="none"/>
          <w:u w:val="none"/>
          <w:lang w:val="en-US" w:eastAsia="zh-CN"/>
        </w:rPr>
        <w:t>0</w:t>
      </w:r>
      <w:r>
        <w:rPr>
          <w:rFonts w:eastAsia="仿宋_GB2312"/>
          <w:sz w:val="32"/>
          <w:szCs w:val="32"/>
          <w:highlight w:val="none"/>
          <w:u w:val="none"/>
        </w:rPr>
        <w:t xml:space="preserve">万元，占 </w:t>
      </w:r>
      <w:r>
        <w:rPr>
          <w:rFonts w:hint="eastAsia" w:eastAsia="仿宋_GB2312"/>
          <w:sz w:val="32"/>
          <w:szCs w:val="32"/>
          <w:highlight w:val="none"/>
          <w:u w:val="none"/>
          <w:lang w:val="en-US" w:eastAsia="zh-CN"/>
        </w:rPr>
        <w:t xml:space="preserve">0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w:t>
      </w:r>
    </w:p>
    <w:p w14:paraId="6BBCCEB7">
      <w:pPr>
        <w:pStyle w:val="8"/>
        <w:tabs>
          <w:tab w:val="left" w:pos="2671"/>
          <w:tab w:val="left" w:pos="5000"/>
          <w:tab w:val="left" w:pos="6190"/>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 xml:space="preserve">本年上级补助收入 </w:t>
      </w:r>
      <w:r>
        <w:rPr>
          <w:rFonts w:hint="eastAsia" w:eastAsia="仿宋_GB2312"/>
          <w:sz w:val="32"/>
          <w:szCs w:val="32"/>
          <w:highlight w:val="none"/>
          <w:u w:val="none"/>
          <w:lang w:val="en-US" w:eastAsia="zh-CN"/>
        </w:rPr>
        <w:t>0</w:t>
      </w:r>
      <w:r>
        <w:rPr>
          <w:rFonts w:eastAsia="仿宋_GB2312"/>
          <w:sz w:val="32"/>
          <w:szCs w:val="32"/>
          <w:highlight w:val="none"/>
          <w:u w:val="none"/>
        </w:rPr>
        <w:t xml:space="preserve">万元，占 </w:t>
      </w:r>
      <w:r>
        <w:rPr>
          <w:rFonts w:hint="eastAsia" w:eastAsia="仿宋_GB2312"/>
          <w:sz w:val="32"/>
          <w:szCs w:val="32"/>
          <w:highlight w:val="none"/>
          <w:u w:val="none"/>
          <w:lang w:val="en-US" w:eastAsia="zh-CN"/>
        </w:rPr>
        <w:t xml:space="preserve">0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w:t>
      </w:r>
    </w:p>
    <w:p w14:paraId="5A22ECD4">
      <w:pPr>
        <w:pStyle w:val="8"/>
        <w:tabs>
          <w:tab w:val="left" w:pos="2671"/>
          <w:tab w:val="left" w:pos="5000"/>
          <w:tab w:val="left" w:pos="6190"/>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 xml:space="preserve">本年附属单位上缴收入 </w:t>
      </w:r>
      <w:r>
        <w:rPr>
          <w:rFonts w:hint="eastAsia" w:eastAsia="仿宋_GB2312"/>
          <w:sz w:val="32"/>
          <w:szCs w:val="32"/>
          <w:highlight w:val="none"/>
          <w:u w:val="none"/>
          <w:lang w:val="en-US" w:eastAsia="zh-CN"/>
        </w:rPr>
        <w:t>0</w:t>
      </w:r>
      <w:r>
        <w:rPr>
          <w:rFonts w:eastAsia="仿宋_GB2312"/>
          <w:sz w:val="32"/>
          <w:szCs w:val="32"/>
          <w:highlight w:val="none"/>
          <w:u w:val="none"/>
        </w:rPr>
        <w:t xml:space="preserve">万元，占占 </w:t>
      </w:r>
      <w:r>
        <w:rPr>
          <w:rFonts w:hint="eastAsia" w:eastAsia="仿宋_GB2312"/>
          <w:sz w:val="32"/>
          <w:szCs w:val="32"/>
          <w:highlight w:val="none"/>
          <w:u w:val="none"/>
          <w:lang w:val="en-US" w:eastAsia="zh-CN"/>
        </w:rPr>
        <w:t xml:space="preserve">0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w:t>
      </w:r>
    </w:p>
    <w:p w14:paraId="1542A3ED">
      <w:pPr>
        <w:pStyle w:val="8"/>
        <w:tabs>
          <w:tab w:val="left" w:pos="2671"/>
          <w:tab w:val="left" w:pos="5000"/>
          <w:tab w:val="left" w:pos="6190"/>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 xml:space="preserve">本年其他收入 </w:t>
      </w:r>
      <w:r>
        <w:rPr>
          <w:rFonts w:hint="eastAsia" w:eastAsia="仿宋_GB2312"/>
          <w:sz w:val="32"/>
          <w:szCs w:val="32"/>
          <w:highlight w:val="none"/>
          <w:u w:val="none"/>
          <w:lang w:val="en-US" w:eastAsia="zh-CN"/>
        </w:rPr>
        <w:t>44.10</w:t>
      </w:r>
      <w:r>
        <w:rPr>
          <w:rFonts w:eastAsia="仿宋_GB2312"/>
          <w:sz w:val="32"/>
          <w:szCs w:val="32"/>
          <w:highlight w:val="none"/>
          <w:u w:val="none"/>
        </w:rPr>
        <w:t>万元，占</w:t>
      </w:r>
      <w:r>
        <w:rPr>
          <w:rFonts w:hint="eastAsia" w:eastAsia="仿宋_GB2312"/>
          <w:sz w:val="32"/>
          <w:szCs w:val="32"/>
          <w:highlight w:val="none"/>
          <w:u w:val="none"/>
          <w:lang w:val="en-US" w:eastAsia="zh-CN"/>
        </w:rPr>
        <w:t xml:space="preserve">0.15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w:t>
      </w:r>
    </w:p>
    <w:p w14:paraId="17625C8B">
      <w:pPr>
        <w:pStyle w:val="8"/>
        <w:tabs>
          <w:tab w:val="left" w:pos="2671"/>
          <w:tab w:val="left" w:pos="5000"/>
          <w:tab w:val="left" w:pos="6190"/>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 xml:space="preserve">上年结转结余的一般公共预算收入 </w:t>
      </w:r>
      <w:r>
        <w:rPr>
          <w:rFonts w:hint="eastAsia" w:eastAsia="仿宋_GB2312"/>
          <w:sz w:val="32"/>
          <w:szCs w:val="32"/>
          <w:highlight w:val="none"/>
          <w:u w:val="none"/>
          <w:lang w:val="en-US" w:eastAsia="zh-CN"/>
        </w:rPr>
        <w:t>43.90</w:t>
      </w:r>
      <w:r>
        <w:rPr>
          <w:rFonts w:eastAsia="仿宋_GB2312"/>
          <w:sz w:val="32"/>
          <w:szCs w:val="32"/>
          <w:highlight w:val="none"/>
          <w:u w:val="none"/>
        </w:rPr>
        <w:t>万元，占</w:t>
      </w:r>
      <w:r>
        <w:rPr>
          <w:rFonts w:hint="eastAsia" w:eastAsia="仿宋_GB2312"/>
          <w:sz w:val="32"/>
          <w:szCs w:val="32"/>
          <w:highlight w:val="none"/>
          <w:u w:val="none"/>
          <w:lang w:val="en-US" w:eastAsia="zh-CN"/>
        </w:rPr>
        <w:t>0.15</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w:t>
      </w:r>
    </w:p>
    <w:p w14:paraId="1133FF33">
      <w:pPr>
        <w:pStyle w:val="8"/>
        <w:tabs>
          <w:tab w:val="left" w:pos="2671"/>
          <w:tab w:val="left" w:pos="5000"/>
          <w:tab w:val="left" w:pos="6190"/>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 xml:space="preserve">上年结转结余的政府性基金预算收入 </w:t>
      </w:r>
      <w:r>
        <w:rPr>
          <w:rFonts w:hint="eastAsia" w:eastAsia="仿宋_GB2312"/>
          <w:sz w:val="32"/>
          <w:szCs w:val="32"/>
          <w:highlight w:val="none"/>
          <w:u w:val="none"/>
          <w:lang w:val="en-US" w:eastAsia="zh-CN"/>
        </w:rPr>
        <w:t>0</w:t>
      </w:r>
      <w:r>
        <w:rPr>
          <w:rFonts w:eastAsia="仿宋_GB2312"/>
          <w:sz w:val="32"/>
          <w:szCs w:val="32"/>
          <w:highlight w:val="none"/>
          <w:u w:val="none"/>
        </w:rPr>
        <w:t xml:space="preserve">万元，占 </w:t>
      </w:r>
      <w:r>
        <w:rPr>
          <w:rFonts w:hint="eastAsia" w:eastAsia="仿宋_GB2312"/>
          <w:sz w:val="32"/>
          <w:szCs w:val="32"/>
          <w:highlight w:val="none"/>
          <w:u w:val="none"/>
          <w:lang w:val="en-US" w:eastAsia="zh-CN"/>
        </w:rPr>
        <w:t xml:space="preserve">0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w:t>
      </w:r>
    </w:p>
    <w:p w14:paraId="0A8E3CB9">
      <w:pPr>
        <w:pStyle w:val="8"/>
        <w:tabs>
          <w:tab w:val="left" w:pos="2671"/>
          <w:tab w:val="left" w:pos="5000"/>
          <w:tab w:val="left" w:pos="6190"/>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 xml:space="preserve">上年结转结余的国有资本经营预算收入 </w:t>
      </w:r>
      <w:r>
        <w:rPr>
          <w:rFonts w:hint="eastAsia" w:eastAsia="仿宋_GB2312"/>
          <w:sz w:val="32"/>
          <w:szCs w:val="32"/>
          <w:highlight w:val="none"/>
          <w:u w:val="none"/>
          <w:lang w:val="en-US" w:eastAsia="zh-CN"/>
        </w:rPr>
        <w:t>0</w:t>
      </w:r>
      <w:r>
        <w:rPr>
          <w:rFonts w:eastAsia="仿宋_GB2312"/>
          <w:sz w:val="32"/>
          <w:szCs w:val="32"/>
          <w:highlight w:val="none"/>
          <w:u w:val="none"/>
        </w:rPr>
        <w:t xml:space="preserve">万元，占 </w:t>
      </w:r>
      <w:r>
        <w:rPr>
          <w:rFonts w:hint="eastAsia" w:eastAsia="仿宋_GB2312"/>
          <w:sz w:val="32"/>
          <w:szCs w:val="32"/>
          <w:highlight w:val="none"/>
          <w:u w:val="none"/>
          <w:lang w:val="en-US" w:eastAsia="zh-CN"/>
        </w:rPr>
        <w:t xml:space="preserve">0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w:t>
      </w:r>
    </w:p>
    <w:p w14:paraId="647574EA">
      <w:pPr>
        <w:pStyle w:val="8"/>
        <w:tabs>
          <w:tab w:val="left" w:pos="2671"/>
          <w:tab w:val="left" w:pos="5000"/>
          <w:tab w:val="left" w:pos="6190"/>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 xml:space="preserve">上年结转结余的财政专户管理资金 </w:t>
      </w:r>
      <w:r>
        <w:rPr>
          <w:rFonts w:hint="eastAsia" w:eastAsia="仿宋_GB2312"/>
          <w:sz w:val="32"/>
          <w:szCs w:val="32"/>
          <w:highlight w:val="none"/>
          <w:u w:val="none"/>
          <w:lang w:val="en-US" w:eastAsia="zh-CN"/>
        </w:rPr>
        <w:t>0</w:t>
      </w:r>
      <w:r>
        <w:rPr>
          <w:rFonts w:eastAsia="仿宋_GB2312"/>
          <w:sz w:val="32"/>
          <w:szCs w:val="32"/>
          <w:highlight w:val="none"/>
          <w:u w:val="none"/>
        </w:rPr>
        <w:t xml:space="preserve">万元，占 </w:t>
      </w:r>
      <w:r>
        <w:rPr>
          <w:rFonts w:hint="eastAsia" w:eastAsia="仿宋_GB2312"/>
          <w:sz w:val="32"/>
          <w:szCs w:val="32"/>
          <w:highlight w:val="none"/>
          <w:u w:val="none"/>
          <w:lang w:val="en-US" w:eastAsia="zh-CN"/>
        </w:rPr>
        <w:t xml:space="preserve">0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w:t>
      </w:r>
    </w:p>
    <w:p w14:paraId="39E2DB28">
      <w:pPr>
        <w:pStyle w:val="8"/>
        <w:tabs>
          <w:tab w:val="left" w:pos="2671"/>
          <w:tab w:val="left" w:pos="5000"/>
          <w:tab w:val="left" w:pos="6190"/>
        </w:tabs>
        <w:spacing w:after="0" w:line="600" w:lineRule="exact"/>
        <w:ind w:firstLine="640" w:firstLineChars="200"/>
        <w:rPr>
          <w:rFonts w:hint="eastAsia" w:eastAsia="仿宋_GB2312"/>
          <w:sz w:val="32"/>
          <w:szCs w:val="32"/>
          <w:highlight w:val="none"/>
          <w:u w:val="none"/>
          <w:lang w:eastAsia="zh-CN"/>
        </w:rPr>
      </w:pPr>
      <w:r>
        <w:rPr>
          <w:rFonts w:eastAsia="仿宋_GB2312"/>
          <w:sz w:val="32"/>
          <w:szCs w:val="32"/>
          <w:highlight w:val="none"/>
          <w:u w:val="none"/>
        </w:rPr>
        <w:t xml:space="preserve">上年结转结余的单位资金 </w:t>
      </w:r>
      <w:r>
        <w:rPr>
          <w:rFonts w:hint="eastAsia" w:eastAsia="仿宋_GB2312"/>
          <w:sz w:val="32"/>
          <w:szCs w:val="32"/>
          <w:highlight w:val="none"/>
          <w:u w:val="none"/>
          <w:lang w:val="en-US" w:eastAsia="zh-CN"/>
        </w:rPr>
        <w:t>80</w:t>
      </w:r>
      <w:r>
        <w:rPr>
          <w:rFonts w:eastAsia="仿宋_GB2312"/>
          <w:sz w:val="32"/>
          <w:szCs w:val="32"/>
          <w:highlight w:val="none"/>
          <w:u w:val="none"/>
        </w:rPr>
        <w:t>万元，占</w:t>
      </w:r>
      <w:r>
        <w:rPr>
          <w:rFonts w:hint="eastAsia" w:eastAsia="仿宋_GB2312"/>
          <w:sz w:val="32"/>
          <w:szCs w:val="32"/>
          <w:highlight w:val="none"/>
          <w:u w:val="none"/>
          <w:lang w:val="en-US" w:eastAsia="zh-CN"/>
        </w:rPr>
        <w:t>0.27</w:t>
      </w:r>
      <w:r>
        <w:rPr>
          <w:rFonts w:hint="eastAsia" w:ascii="仿宋_GB2312" w:hAnsi="仿宋_GB2312" w:eastAsia="仿宋_GB2312"/>
          <w:sz w:val="32"/>
          <w:szCs w:val="32"/>
          <w:highlight w:val="none"/>
          <w:u w:val="none"/>
          <w:lang w:eastAsia="zh-CN"/>
        </w:rPr>
        <w:t>%</w:t>
      </w:r>
      <w:r>
        <w:rPr>
          <w:rFonts w:hint="eastAsia" w:eastAsia="仿宋_GB2312"/>
          <w:sz w:val="32"/>
          <w:szCs w:val="32"/>
          <w:highlight w:val="none"/>
          <w:u w:val="none"/>
          <w:lang w:eastAsia="zh-CN"/>
        </w:rPr>
        <w:t>。</w:t>
      </w:r>
    </w:p>
    <w:p w14:paraId="032C27C6">
      <w:pPr>
        <w:pStyle w:val="8"/>
        <w:tabs>
          <w:tab w:val="left" w:pos="2671"/>
          <w:tab w:val="left" w:pos="5000"/>
          <w:tab w:val="left" w:pos="6190"/>
        </w:tabs>
        <w:spacing w:after="0" w:line="240" w:lineRule="auto"/>
        <w:rPr>
          <w:rFonts w:hint="eastAsia" w:eastAsia="仿宋_GB2312"/>
          <w:sz w:val="32"/>
          <w:szCs w:val="32"/>
          <w:highlight w:val="none"/>
          <w:u w:val="none"/>
          <w:lang w:eastAsia="zh-CN"/>
        </w:rPr>
      </w:pPr>
      <w:r>
        <w:rPr>
          <w:rFonts w:hint="eastAsia" w:eastAsia="仿宋_GB2312"/>
          <w:sz w:val="32"/>
          <w:szCs w:val="32"/>
          <w:highlight w:val="none"/>
          <w:u w:val="none"/>
          <w:lang w:eastAsia="zh-CN"/>
        </w:rPr>
        <w:drawing>
          <wp:inline distT="0" distB="0" distL="114300" distR="114300">
            <wp:extent cx="5729605" cy="3551555"/>
            <wp:effectExtent l="0" t="0" r="4445" b="10795"/>
            <wp:docPr id="4" name="图片 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1"/>
                    <pic:cNvPicPr>
                      <a:picLocks noChangeAspect="1"/>
                    </pic:cNvPicPr>
                  </pic:nvPicPr>
                  <pic:blipFill>
                    <a:blip r:embed="rId7"/>
                    <a:stretch>
                      <a:fillRect/>
                    </a:stretch>
                  </pic:blipFill>
                  <pic:spPr>
                    <a:xfrm>
                      <a:off x="0" y="0"/>
                      <a:ext cx="5729605" cy="3551555"/>
                    </a:xfrm>
                    <a:prstGeom prst="rect">
                      <a:avLst/>
                    </a:prstGeom>
                  </pic:spPr>
                </pic:pic>
              </a:graphicData>
            </a:graphic>
          </wp:inline>
        </w:drawing>
      </w:r>
    </w:p>
    <w:p w14:paraId="355CB257">
      <w:pPr>
        <w:pStyle w:val="18"/>
        <w:tabs>
          <w:tab w:val="left" w:pos="0"/>
        </w:tabs>
        <w:ind w:left="0" w:leftChars="0" w:firstLine="0"/>
        <w:jc w:val="both"/>
        <w:rPr>
          <w:rFonts w:eastAsia="仿宋_GB2312"/>
          <w:sz w:val="32"/>
          <w:szCs w:val="32"/>
          <w:highlight w:val="none"/>
          <w:u w:val="none"/>
        </w:rPr>
      </w:pPr>
    </w:p>
    <w:p w14:paraId="2FFDD6E8">
      <w:pPr>
        <w:pStyle w:val="18"/>
        <w:tabs>
          <w:tab w:val="left" w:pos="0"/>
        </w:tabs>
        <w:ind w:left="0" w:leftChars="0" w:firstLine="0"/>
        <w:jc w:val="center"/>
        <w:rPr>
          <w:rFonts w:hint="eastAsia" w:ascii="Times New Roman" w:hAnsi="Times New Roman" w:eastAsia="仿宋_GB2312" w:cs="仿宋"/>
          <w:sz w:val="32"/>
          <w:szCs w:val="32"/>
          <w:highlight w:val="none"/>
          <w:u w:val="none"/>
          <w:lang w:eastAsia="zh-CN"/>
        </w:rPr>
      </w:pPr>
      <w:r>
        <w:rPr>
          <w:rFonts w:eastAsia="仿宋_GB2312"/>
          <w:sz w:val="32"/>
          <w:szCs w:val="32"/>
          <w:highlight w:val="none"/>
          <w:u w:val="none"/>
        </w:rPr>
        <w:t>图1.收入预算图</w:t>
      </w:r>
    </w:p>
    <w:p w14:paraId="7E9059CC">
      <w:pPr>
        <w:pStyle w:val="18"/>
        <w:tabs>
          <w:tab w:val="left" w:pos="0"/>
        </w:tabs>
        <w:ind w:left="0" w:leftChars="0" w:firstLine="0"/>
        <w:jc w:val="center"/>
        <w:rPr>
          <w:rFonts w:hint="eastAsia" w:ascii="Times New Roman" w:hAnsi="Times New Roman" w:eastAsia="仿宋_GB2312" w:cs="仿宋"/>
          <w:sz w:val="32"/>
          <w:szCs w:val="32"/>
          <w:highlight w:val="none"/>
          <w:u w:val="none"/>
          <w:lang w:eastAsia="zh-CN"/>
        </w:rPr>
      </w:pPr>
    </w:p>
    <w:p w14:paraId="2D9AAA1B">
      <w:pPr>
        <w:spacing w:line="600" w:lineRule="exact"/>
        <w:ind w:left="0" w:leftChars="0" w:firstLine="640" w:firstLineChars="200"/>
        <w:outlineLvl w:val="2"/>
        <w:rPr>
          <w:rFonts w:eastAsia="黑体" w:cs="黑体"/>
          <w:sz w:val="32"/>
          <w:szCs w:val="36"/>
          <w:highlight w:val="none"/>
          <w:u w:val="none"/>
        </w:rPr>
      </w:pPr>
      <w:r>
        <w:rPr>
          <w:rFonts w:hint="eastAsia" w:eastAsia="黑体" w:cs="黑体"/>
          <w:sz w:val="32"/>
          <w:szCs w:val="36"/>
          <w:highlight w:val="none"/>
          <w:u w:val="none"/>
        </w:rPr>
        <w:t>三、支出预算情况说明</w:t>
      </w:r>
    </w:p>
    <w:p w14:paraId="7E0C7622">
      <w:pPr>
        <w:pStyle w:val="8"/>
        <w:tabs>
          <w:tab w:val="left" w:pos="2671"/>
          <w:tab w:val="left" w:pos="5000"/>
          <w:tab w:val="left" w:pos="6190"/>
        </w:tabs>
        <w:spacing w:after="0" w:line="600" w:lineRule="exact"/>
        <w:ind w:firstLine="640" w:firstLineChars="200"/>
        <w:rPr>
          <w:rFonts w:hint="eastAsia" w:eastAsia="仿宋_GB2312"/>
          <w:sz w:val="32"/>
          <w:szCs w:val="32"/>
          <w:highlight w:val="none"/>
          <w:u w:val="none"/>
          <w:lang w:eastAsia="zh-CN"/>
        </w:rPr>
      </w:pPr>
      <w:r>
        <w:rPr>
          <w:rFonts w:hint="eastAsia" w:ascii="仿宋_GB2312" w:hAnsi="仿宋_GB2312" w:eastAsia="仿宋_GB2312" w:cs="仿宋"/>
          <w:sz w:val="32"/>
          <w:szCs w:val="32"/>
          <w:highlight w:val="none"/>
          <w:u w:val="none"/>
          <w:lang w:val="en-US" w:eastAsia="zh-CN"/>
        </w:rPr>
        <w:t>内蒙古自治区第四医院（内蒙古自治区胸科医院、内蒙古自治区公共卫生突发事件医疗救治中心）2025</w:t>
      </w:r>
      <w:r>
        <w:rPr>
          <w:rFonts w:hint="eastAsia" w:ascii="仿宋_GB2312" w:hAnsi="仿宋_GB2312" w:eastAsia="仿宋_GB2312" w:cs="仿宋_GB2312"/>
          <w:sz w:val="32"/>
          <w:szCs w:val="32"/>
          <w:highlight w:val="none"/>
          <w:u w:val="none"/>
        </w:rPr>
        <w:t>年度</w:t>
      </w:r>
      <w:r>
        <w:rPr>
          <w:rFonts w:eastAsia="仿宋_GB2312"/>
          <w:sz w:val="32"/>
          <w:szCs w:val="32"/>
          <w:highlight w:val="none"/>
          <w:u w:val="none"/>
        </w:rPr>
        <w:t xml:space="preserve">支出预算合计     </w:t>
      </w:r>
      <w:r>
        <w:rPr>
          <w:rFonts w:hint="eastAsia" w:eastAsia="仿宋_GB2312"/>
          <w:sz w:val="32"/>
          <w:szCs w:val="32"/>
          <w:highlight w:val="none"/>
          <w:u w:val="none"/>
          <w:lang w:val="en-US" w:eastAsia="zh-CN"/>
        </w:rPr>
        <w:t>29385.83</w:t>
      </w:r>
      <w:r>
        <w:rPr>
          <w:rFonts w:eastAsia="仿宋_GB2312"/>
          <w:sz w:val="32"/>
          <w:szCs w:val="32"/>
          <w:highlight w:val="none"/>
          <w:u w:val="none"/>
        </w:rPr>
        <w:t>万元，其中</w:t>
      </w:r>
      <w:r>
        <w:rPr>
          <w:rFonts w:hint="eastAsia" w:eastAsia="仿宋_GB2312"/>
          <w:sz w:val="32"/>
          <w:szCs w:val="32"/>
          <w:highlight w:val="none"/>
          <w:u w:val="none"/>
          <w:lang w:eastAsia="zh-CN"/>
        </w:rPr>
        <w:t>：</w:t>
      </w:r>
    </w:p>
    <w:p w14:paraId="33C917F1">
      <w:pPr>
        <w:pStyle w:val="8"/>
        <w:tabs>
          <w:tab w:val="left" w:pos="2671"/>
          <w:tab w:val="left" w:pos="5000"/>
          <w:tab w:val="left" w:pos="6190"/>
        </w:tabs>
        <w:spacing w:after="0" w:line="600" w:lineRule="exact"/>
        <w:ind w:firstLine="640" w:firstLineChars="200"/>
        <w:rPr>
          <w:rFonts w:hint="eastAsia" w:eastAsia="仿宋_GB2312"/>
          <w:sz w:val="32"/>
          <w:szCs w:val="32"/>
          <w:highlight w:val="none"/>
          <w:u w:val="none"/>
          <w:lang w:eastAsia="zh-CN"/>
        </w:rPr>
      </w:pPr>
      <w:r>
        <w:rPr>
          <w:rFonts w:eastAsia="仿宋_GB2312"/>
          <w:sz w:val="32"/>
          <w:szCs w:val="32"/>
          <w:highlight w:val="none"/>
          <w:u w:val="none"/>
        </w:rPr>
        <w:t xml:space="preserve">基本支出 </w:t>
      </w:r>
      <w:r>
        <w:rPr>
          <w:rFonts w:hint="eastAsia" w:eastAsia="仿宋_GB2312"/>
          <w:sz w:val="32"/>
          <w:szCs w:val="32"/>
          <w:highlight w:val="none"/>
          <w:u w:val="none"/>
          <w:lang w:val="en-US" w:eastAsia="zh-CN"/>
        </w:rPr>
        <w:t>20697.93</w:t>
      </w:r>
      <w:r>
        <w:rPr>
          <w:rFonts w:eastAsia="仿宋_GB2312"/>
          <w:sz w:val="32"/>
          <w:szCs w:val="32"/>
          <w:highlight w:val="none"/>
          <w:u w:val="none"/>
        </w:rPr>
        <w:t xml:space="preserve"> 万元，占</w:t>
      </w:r>
      <w:r>
        <w:rPr>
          <w:rFonts w:hint="eastAsia" w:eastAsia="仿宋_GB2312"/>
          <w:sz w:val="32"/>
          <w:szCs w:val="32"/>
          <w:highlight w:val="none"/>
          <w:u w:val="none"/>
          <w:lang w:val="en-US" w:eastAsia="zh-CN"/>
        </w:rPr>
        <w:t>70.44</w:t>
      </w:r>
      <w:r>
        <w:rPr>
          <w:rFonts w:eastAsia="仿宋_GB2312"/>
          <w:sz w:val="32"/>
          <w:szCs w:val="32"/>
          <w:highlight w:val="none"/>
          <w:u w:val="none"/>
        </w:rPr>
        <w:t xml:space="preserve">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w:t>
      </w:r>
    </w:p>
    <w:p w14:paraId="44E6C1A6">
      <w:pPr>
        <w:pStyle w:val="8"/>
        <w:tabs>
          <w:tab w:val="left" w:pos="2671"/>
          <w:tab w:val="left" w:pos="5000"/>
          <w:tab w:val="left" w:pos="6190"/>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 xml:space="preserve">项目支出 </w:t>
      </w:r>
      <w:r>
        <w:rPr>
          <w:rFonts w:hint="eastAsia" w:eastAsia="仿宋_GB2312"/>
          <w:sz w:val="32"/>
          <w:szCs w:val="32"/>
          <w:highlight w:val="none"/>
          <w:u w:val="none"/>
          <w:lang w:val="en-US" w:eastAsia="zh-CN"/>
        </w:rPr>
        <w:t>8687.90</w:t>
      </w:r>
      <w:r>
        <w:rPr>
          <w:rFonts w:eastAsia="仿宋_GB2312"/>
          <w:sz w:val="32"/>
          <w:szCs w:val="32"/>
          <w:highlight w:val="none"/>
          <w:u w:val="none"/>
        </w:rPr>
        <w:t xml:space="preserve"> 万元，占</w:t>
      </w:r>
      <w:r>
        <w:rPr>
          <w:rFonts w:hint="eastAsia" w:eastAsia="仿宋_GB2312"/>
          <w:sz w:val="32"/>
          <w:szCs w:val="32"/>
          <w:highlight w:val="none"/>
          <w:u w:val="none"/>
          <w:lang w:val="en-US" w:eastAsia="zh-CN"/>
        </w:rPr>
        <w:t>29.56</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w:t>
      </w:r>
    </w:p>
    <w:p w14:paraId="2911A9BA">
      <w:pPr>
        <w:pStyle w:val="8"/>
        <w:tabs>
          <w:tab w:val="left" w:pos="2671"/>
          <w:tab w:val="left" w:pos="5000"/>
          <w:tab w:val="left" w:pos="6190"/>
        </w:tabs>
        <w:spacing w:after="0" w:line="600" w:lineRule="exact"/>
        <w:ind w:firstLine="640" w:firstLineChars="200"/>
        <w:rPr>
          <w:rFonts w:ascii="Times New Roman" w:hAnsi="Times New Roman" w:eastAsia="仿宋_GB2312" w:cs="仿宋"/>
          <w:sz w:val="32"/>
          <w:szCs w:val="32"/>
          <w:highlight w:val="none"/>
          <w:u w:val="none"/>
        </w:rPr>
      </w:pPr>
      <w:r>
        <w:rPr>
          <w:rFonts w:eastAsia="仿宋_GB2312"/>
          <w:sz w:val="32"/>
          <w:szCs w:val="32"/>
          <w:highlight w:val="none"/>
          <w:u w:val="none"/>
        </w:rPr>
        <w:t xml:space="preserve">事业单位经营支出 </w:t>
      </w:r>
      <w:r>
        <w:rPr>
          <w:rFonts w:hint="eastAsia" w:eastAsia="仿宋_GB2312"/>
          <w:sz w:val="32"/>
          <w:szCs w:val="32"/>
          <w:highlight w:val="none"/>
          <w:u w:val="none"/>
          <w:lang w:val="en-US" w:eastAsia="zh-CN"/>
        </w:rPr>
        <w:t>0</w:t>
      </w:r>
      <w:r>
        <w:rPr>
          <w:rFonts w:eastAsia="仿宋_GB2312"/>
          <w:sz w:val="32"/>
          <w:szCs w:val="32"/>
          <w:highlight w:val="none"/>
          <w:u w:val="none"/>
        </w:rPr>
        <w:t xml:space="preserve"> 万元，占 </w:t>
      </w:r>
      <w:r>
        <w:rPr>
          <w:rFonts w:hint="eastAsia" w:eastAsia="仿宋_GB2312"/>
          <w:sz w:val="32"/>
          <w:szCs w:val="32"/>
          <w:highlight w:val="none"/>
          <w:u w:val="none"/>
          <w:lang w:val="en-US" w:eastAsia="zh-CN"/>
        </w:rPr>
        <w:t>0</w:t>
      </w:r>
      <w:r>
        <w:rPr>
          <w:rFonts w:eastAsia="仿宋_GB2312"/>
          <w:sz w:val="32"/>
          <w:szCs w:val="32"/>
          <w:highlight w:val="none"/>
          <w:u w:val="none"/>
        </w:rPr>
        <w:t xml:space="preserve">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w:t>
      </w:r>
    </w:p>
    <w:p w14:paraId="420CD3DC">
      <w:pPr>
        <w:pStyle w:val="8"/>
        <w:tabs>
          <w:tab w:val="left" w:pos="2671"/>
          <w:tab w:val="left" w:pos="5000"/>
          <w:tab w:val="left" w:pos="6190"/>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上缴上级支出</w:t>
      </w:r>
      <w:r>
        <w:rPr>
          <w:rFonts w:eastAsia="仿宋_GB2312"/>
          <w:sz w:val="32"/>
          <w:szCs w:val="32"/>
          <w:highlight w:val="none"/>
          <w:u w:val="none"/>
        </w:rPr>
        <w:tab/>
      </w:r>
      <w:r>
        <w:rPr>
          <w:rFonts w:eastAsia="仿宋_GB2312"/>
          <w:sz w:val="32"/>
          <w:szCs w:val="32"/>
          <w:highlight w:val="none"/>
          <w:u w:val="none"/>
        </w:rPr>
        <w:t xml:space="preserve"> </w:t>
      </w:r>
      <w:r>
        <w:rPr>
          <w:rFonts w:hint="eastAsia" w:eastAsia="仿宋_GB2312"/>
          <w:sz w:val="32"/>
          <w:szCs w:val="32"/>
          <w:highlight w:val="none"/>
          <w:u w:val="none"/>
          <w:lang w:val="en-US" w:eastAsia="zh-CN"/>
        </w:rPr>
        <w:t>0</w:t>
      </w:r>
      <w:r>
        <w:rPr>
          <w:rFonts w:eastAsia="仿宋_GB2312"/>
          <w:sz w:val="32"/>
          <w:szCs w:val="32"/>
          <w:highlight w:val="none"/>
          <w:u w:val="none"/>
        </w:rPr>
        <w:t xml:space="preserve"> 万元，占 </w:t>
      </w:r>
      <w:r>
        <w:rPr>
          <w:rFonts w:hint="eastAsia" w:eastAsia="仿宋_GB2312"/>
          <w:sz w:val="32"/>
          <w:szCs w:val="32"/>
          <w:highlight w:val="none"/>
          <w:u w:val="none"/>
          <w:lang w:val="en-US" w:eastAsia="zh-CN"/>
        </w:rPr>
        <w:t>0</w:t>
      </w:r>
      <w:r>
        <w:rPr>
          <w:rFonts w:eastAsia="仿宋_GB2312"/>
          <w:sz w:val="32"/>
          <w:szCs w:val="32"/>
          <w:highlight w:val="none"/>
          <w:u w:val="none"/>
        </w:rPr>
        <w:t xml:space="preserve">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w:t>
      </w:r>
    </w:p>
    <w:p w14:paraId="19329BAF">
      <w:pPr>
        <w:pStyle w:val="8"/>
        <w:tabs>
          <w:tab w:val="left" w:pos="2671"/>
          <w:tab w:val="left" w:pos="5000"/>
          <w:tab w:val="left" w:pos="6190"/>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 xml:space="preserve">对附属单位补助支出 </w:t>
      </w:r>
      <w:r>
        <w:rPr>
          <w:rFonts w:hint="eastAsia" w:eastAsia="仿宋_GB2312"/>
          <w:sz w:val="32"/>
          <w:szCs w:val="32"/>
          <w:highlight w:val="none"/>
          <w:u w:val="none"/>
          <w:lang w:val="en-US" w:eastAsia="zh-CN"/>
        </w:rPr>
        <w:t>0</w:t>
      </w:r>
      <w:r>
        <w:rPr>
          <w:rFonts w:eastAsia="仿宋_GB2312"/>
          <w:sz w:val="32"/>
          <w:szCs w:val="32"/>
          <w:highlight w:val="none"/>
          <w:u w:val="none"/>
        </w:rPr>
        <w:t xml:space="preserve"> 万元，占 </w:t>
      </w:r>
      <w:r>
        <w:rPr>
          <w:rFonts w:hint="eastAsia" w:eastAsia="仿宋_GB2312"/>
          <w:sz w:val="32"/>
          <w:szCs w:val="32"/>
          <w:highlight w:val="none"/>
          <w:u w:val="none"/>
          <w:lang w:val="en-US" w:eastAsia="zh-CN"/>
        </w:rPr>
        <w:t>0</w:t>
      </w:r>
      <w:r>
        <w:rPr>
          <w:rFonts w:eastAsia="仿宋_GB2312"/>
          <w:sz w:val="32"/>
          <w:szCs w:val="32"/>
          <w:highlight w:val="none"/>
          <w:u w:val="none"/>
        </w:rPr>
        <w:t xml:space="preserve">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w:t>
      </w:r>
    </w:p>
    <w:p w14:paraId="7E24D522">
      <w:pPr>
        <w:pStyle w:val="18"/>
        <w:ind w:left="0" w:leftChars="0" w:firstLine="220"/>
        <w:jc w:val="center"/>
        <w:rPr>
          <w:rFonts w:hint="default" w:eastAsia="仿宋_GB2312"/>
          <w:sz w:val="32"/>
          <w:szCs w:val="32"/>
          <w:highlight w:val="none"/>
          <w:u w:val="none"/>
        </w:rPr>
      </w:pPr>
    </w:p>
    <w:p w14:paraId="6790760B">
      <w:pPr>
        <w:pStyle w:val="18"/>
        <w:ind w:left="0" w:leftChars="0" w:firstLine="220"/>
        <w:jc w:val="center"/>
        <w:rPr>
          <w:rFonts w:hint="default" w:eastAsia="仿宋_GB2312"/>
          <w:sz w:val="32"/>
          <w:szCs w:val="32"/>
          <w:highlight w:val="none"/>
          <w:u w:val="none"/>
        </w:rPr>
      </w:pPr>
      <w:r>
        <w:drawing>
          <wp:inline distT="0" distB="0" distL="114300" distR="114300">
            <wp:extent cx="4826000" cy="2743200"/>
            <wp:effectExtent l="4445" t="4445" r="8255" b="14605"/>
            <wp:docPr id="6"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7DAC1377">
      <w:pPr>
        <w:pStyle w:val="18"/>
        <w:ind w:left="0" w:leftChars="0" w:firstLine="220"/>
        <w:jc w:val="center"/>
        <w:rPr>
          <w:rFonts w:hint="default"/>
          <w:highlight w:val="none"/>
          <w:u w:val="none"/>
        </w:rPr>
      </w:pPr>
      <w:r>
        <w:rPr>
          <w:rFonts w:eastAsia="仿宋_GB2312"/>
          <w:sz w:val="32"/>
          <w:szCs w:val="32"/>
          <w:highlight w:val="none"/>
          <w:u w:val="none"/>
        </w:rPr>
        <w:t>图2.支出预算图</w:t>
      </w:r>
    </w:p>
    <w:p w14:paraId="39B32D6A">
      <w:pPr>
        <w:pStyle w:val="8"/>
        <w:tabs>
          <w:tab w:val="left" w:pos="2671"/>
          <w:tab w:val="left" w:pos="5000"/>
          <w:tab w:val="left" w:pos="6190"/>
        </w:tabs>
        <w:spacing w:after="0" w:line="600" w:lineRule="exact"/>
        <w:ind w:firstLine="640" w:firstLineChars="200"/>
        <w:rPr>
          <w:rFonts w:hint="eastAsia" w:ascii="Times New Roman" w:hAnsi="Times New Roman" w:eastAsia="仿宋_GB2312" w:cs="仿宋"/>
          <w:sz w:val="32"/>
          <w:szCs w:val="32"/>
          <w:highlight w:val="none"/>
          <w:u w:val="none"/>
        </w:rPr>
      </w:pPr>
    </w:p>
    <w:p w14:paraId="159F374B">
      <w:pPr>
        <w:spacing w:line="600" w:lineRule="exact"/>
        <w:ind w:left="6" w:leftChars="0" w:firstLine="633" w:firstLineChars="198"/>
        <w:outlineLvl w:val="2"/>
        <w:rPr>
          <w:rFonts w:eastAsia="黑体" w:cs="黑体"/>
          <w:sz w:val="32"/>
          <w:szCs w:val="36"/>
          <w:highlight w:val="none"/>
          <w:u w:val="none"/>
        </w:rPr>
      </w:pPr>
      <w:r>
        <w:rPr>
          <w:rFonts w:hint="eastAsia" w:eastAsia="黑体" w:cs="黑体"/>
          <w:sz w:val="32"/>
          <w:szCs w:val="36"/>
          <w:highlight w:val="none"/>
          <w:u w:val="none"/>
        </w:rPr>
        <w:t>四、财政拨款收支预算总体情况说明</w:t>
      </w:r>
    </w:p>
    <w:p w14:paraId="4692ACE3">
      <w:pPr>
        <w:pStyle w:val="8"/>
        <w:tabs>
          <w:tab w:val="left" w:pos="2671"/>
          <w:tab w:val="left" w:pos="5000"/>
          <w:tab w:val="left" w:pos="6190"/>
        </w:tabs>
        <w:spacing w:after="0" w:line="600" w:lineRule="exact"/>
        <w:ind w:firstLine="640" w:firstLineChars="200"/>
        <w:rPr>
          <w:rFonts w:hint="default" w:ascii="Times New Roman" w:hAnsi="Times New Roman" w:eastAsia="仿宋_GB2312" w:cs="仿宋"/>
          <w:sz w:val="32"/>
          <w:szCs w:val="32"/>
          <w:highlight w:val="none"/>
          <w:u w:val="none"/>
          <w:lang w:val="en-US"/>
        </w:rPr>
      </w:pPr>
      <w:r>
        <w:rPr>
          <w:rFonts w:hint="eastAsia" w:eastAsia="仿宋_GB2312"/>
          <w:sz w:val="32"/>
          <w:szCs w:val="32"/>
          <w:highlight w:val="none"/>
          <w:u w:val="none"/>
          <w:lang w:val="en-US" w:eastAsia="zh-CN"/>
        </w:rPr>
        <w:t>内蒙古自治区第四医院（内蒙古自治区胸科医院、内蒙古自治区公共卫生突发事件医疗救治中心）</w:t>
      </w:r>
      <w:r>
        <w:rPr>
          <w:rFonts w:eastAsia="仿宋_GB2312"/>
          <w:sz w:val="32"/>
          <w:szCs w:val="32"/>
          <w:highlight w:val="none"/>
          <w:u w:val="none"/>
        </w:rPr>
        <w:t>年度财政拨款收、支总预算</w:t>
      </w:r>
      <w:r>
        <w:rPr>
          <w:rFonts w:hint="eastAsia" w:eastAsia="仿宋_GB2312"/>
          <w:sz w:val="32"/>
          <w:szCs w:val="32"/>
          <w:highlight w:val="none"/>
          <w:u w:val="none"/>
          <w:lang w:val="en-US" w:eastAsia="zh-CN"/>
        </w:rPr>
        <w:t>13791.20</w:t>
      </w:r>
      <w:r>
        <w:rPr>
          <w:rFonts w:eastAsia="仿宋_GB2312"/>
          <w:sz w:val="32"/>
          <w:szCs w:val="32"/>
          <w:highlight w:val="none"/>
          <w:u w:val="none"/>
        </w:rPr>
        <w:t xml:space="preserve">万元。与上年相比，财政拨款收、支总计各增加 </w:t>
      </w:r>
      <w:r>
        <w:rPr>
          <w:rFonts w:hint="eastAsia" w:eastAsia="仿宋_GB2312"/>
          <w:sz w:val="32"/>
          <w:szCs w:val="32"/>
          <w:highlight w:val="none"/>
          <w:u w:val="none"/>
          <w:lang w:val="en-US" w:eastAsia="zh-CN"/>
        </w:rPr>
        <w:t>7252.81</w:t>
      </w:r>
      <w:r>
        <w:rPr>
          <w:rFonts w:eastAsia="仿宋_GB2312"/>
          <w:sz w:val="32"/>
          <w:szCs w:val="32"/>
          <w:highlight w:val="none"/>
          <w:u w:val="none"/>
        </w:rPr>
        <w:t xml:space="preserve">万元，增长 </w:t>
      </w:r>
      <w:r>
        <w:rPr>
          <w:rFonts w:hint="eastAsia" w:eastAsia="仿宋_GB2312"/>
          <w:sz w:val="32"/>
          <w:szCs w:val="32"/>
          <w:highlight w:val="none"/>
          <w:u w:val="none"/>
          <w:lang w:val="en-US" w:eastAsia="zh-CN"/>
        </w:rPr>
        <w:t>110.99</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w:t>
      </w:r>
      <w:r>
        <w:rPr>
          <w:rFonts w:hint="eastAsia" w:eastAsia="仿宋_GB2312"/>
          <w:sz w:val="32"/>
          <w:szCs w:val="32"/>
          <w:highlight w:val="none"/>
          <w:u w:val="none"/>
          <w:lang w:val="en-US" w:eastAsia="zh-CN"/>
        </w:rPr>
        <w:t>,</w:t>
      </w:r>
      <w:r>
        <w:rPr>
          <w:rFonts w:eastAsia="仿宋_GB2312"/>
          <w:sz w:val="32"/>
          <w:szCs w:val="32"/>
          <w:highlight w:val="none"/>
          <w:u w:val="none"/>
        </w:rPr>
        <w:t>主要原因是</w:t>
      </w:r>
      <w:r>
        <w:rPr>
          <w:rFonts w:hint="eastAsia" w:eastAsia="仿宋_GB2312"/>
          <w:sz w:val="32"/>
          <w:szCs w:val="32"/>
          <w:highlight w:val="none"/>
          <w:u w:val="none"/>
          <w:lang w:val="en-US" w:eastAsia="zh-CN"/>
        </w:rPr>
        <w:t>本年度基本支出中定项补助增加628万元，本年度新增专项资金项目医疗服务与保障能力提升（医疗卫生机构能力建设）500万元，新增内蒙古自治区第四医院传染病大楼开办经费项目6936万元，新增学科建设、健康教育及12320热线服务费105万元，新增中（蒙）医能力建设和学术继承2万元，新增2025年自然科学基金13万元，新增基于综合风险模型的结核病、糖尿病布病患者不良结局预测及分配管理体系构建20.10万元；本年度重大公共卫生服务补助资金减少86万元、事业发展经费支出、新冠疫情防控医务临时性工作补助资金、新冠患者救治费用财政补助资金、医疗服务与保障能力提升（公立医院综合改革）补助资金取消，共计705.61万元，本年度离退休经费减少9.62万元。</w:t>
      </w:r>
    </w:p>
    <w:p w14:paraId="19C7FD6B">
      <w:pPr>
        <w:spacing w:line="600" w:lineRule="exact"/>
        <w:ind w:left="0" w:leftChars="0" w:firstLine="640" w:firstLineChars="200"/>
        <w:outlineLvl w:val="2"/>
        <w:rPr>
          <w:rFonts w:eastAsia="黑体" w:cs="黑体"/>
          <w:sz w:val="32"/>
          <w:szCs w:val="36"/>
          <w:highlight w:val="none"/>
          <w:u w:val="none"/>
        </w:rPr>
      </w:pPr>
      <w:r>
        <w:rPr>
          <w:rFonts w:hint="eastAsia" w:eastAsia="黑体" w:cs="黑体"/>
          <w:sz w:val="32"/>
          <w:szCs w:val="36"/>
          <w:highlight w:val="none"/>
          <w:u w:val="none"/>
        </w:rPr>
        <w:t>五、一般公共预算支出预算情况说明</w:t>
      </w:r>
    </w:p>
    <w:p w14:paraId="0E3665E9">
      <w:pPr>
        <w:pStyle w:val="8"/>
        <w:tabs>
          <w:tab w:val="left" w:pos="2671"/>
          <w:tab w:val="left" w:pos="5000"/>
          <w:tab w:val="left" w:pos="6190"/>
        </w:tabs>
        <w:spacing w:after="0" w:line="600" w:lineRule="exact"/>
        <w:ind w:firstLine="640" w:firstLineChars="200"/>
        <w:rPr>
          <w:rFonts w:hint="eastAsia" w:eastAsia="仿宋_GB2312"/>
          <w:sz w:val="32"/>
          <w:szCs w:val="32"/>
          <w:highlight w:val="none"/>
          <w:u w:val="none"/>
        </w:rPr>
      </w:pPr>
      <w:r>
        <w:rPr>
          <w:rFonts w:hint="eastAsia" w:ascii="仿宋_GB2312" w:hAnsi="仿宋_GB2312" w:eastAsia="仿宋_GB2312" w:cs="仿宋_GB2312"/>
          <w:sz w:val="32"/>
          <w:szCs w:val="32"/>
          <w:highlight w:val="none"/>
          <w:u w:val="none"/>
          <w:lang w:val="en-US" w:eastAsia="zh-CN"/>
        </w:rPr>
        <w:t>内蒙古自治区第四医院（内蒙古自治区胸科医院、内蒙古自治区公共卫生突发事件医疗救治中心）2026</w:t>
      </w:r>
      <w:r>
        <w:rPr>
          <w:rFonts w:hint="eastAsia" w:ascii="仿宋_GB2312" w:hAnsi="仿宋_GB2312" w:eastAsia="仿宋_GB2312" w:cs="仿宋_GB2312"/>
          <w:sz w:val="32"/>
          <w:szCs w:val="32"/>
          <w:highlight w:val="none"/>
          <w:u w:val="none"/>
        </w:rPr>
        <w:t>年度</w:t>
      </w:r>
      <w:r>
        <w:rPr>
          <w:rFonts w:eastAsia="仿宋_GB2312"/>
          <w:sz w:val="32"/>
          <w:szCs w:val="32"/>
          <w:highlight w:val="none"/>
          <w:u w:val="none"/>
        </w:rPr>
        <w:t>一般公共预算财政拨款支出预算</w:t>
      </w:r>
      <w:r>
        <w:rPr>
          <w:rFonts w:hint="eastAsia" w:eastAsia="仿宋_GB2312"/>
          <w:sz w:val="32"/>
          <w:szCs w:val="32"/>
          <w:highlight w:val="none"/>
          <w:u w:val="none"/>
          <w:lang w:val="en-US" w:eastAsia="zh-CN"/>
        </w:rPr>
        <w:t>13791.20</w:t>
      </w:r>
      <w:r>
        <w:rPr>
          <w:rFonts w:eastAsia="仿宋_GB2312"/>
          <w:sz w:val="32"/>
          <w:szCs w:val="32"/>
          <w:highlight w:val="none"/>
          <w:u w:val="none"/>
        </w:rPr>
        <w:t>万元，与上年相比增加</w:t>
      </w:r>
      <w:r>
        <w:rPr>
          <w:rFonts w:hint="eastAsia" w:eastAsia="仿宋_GB2312"/>
          <w:sz w:val="32"/>
          <w:szCs w:val="32"/>
          <w:highlight w:val="none"/>
          <w:u w:val="none"/>
          <w:lang w:val="en-US" w:eastAsia="zh-CN"/>
        </w:rPr>
        <w:t>7252.81</w:t>
      </w:r>
      <w:r>
        <w:rPr>
          <w:rFonts w:eastAsia="仿宋_GB2312"/>
          <w:sz w:val="32"/>
          <w:szCs w:val="32"/>
          <w:highlight w:val="none"/>
          <w:u w:val="none"/>
        </w:rPr>
        <w:t>万元，增长</w:t>
      </w:r>
      <w:r>
        <w:rPr>
          <w:rFonts w:hint="eastAsia" w:eastAsia="仿宋_GB2312"/>
          <w:sz w:val="32"/>
          <w:szCs w:val="32"/>
          <w:highlight w:val="none"/>
          <w:u w:val="none"/>
          <w:lang w:val="en-US" w:eastAsia="zh-CN"/>
        </w:rPr>
        <w:t>110.99</w:t>
      </w:r>
      <w:r>
        <w:rPr>
          <w:rFonts w:eastAsia="仿宋_GB2312"/>
          <w:sz w:val="32"/>
          <w:szCs w:val="32"/>
          <w:highlight w:val="none"/>
          <w:u w:val="none"/>
        </w:rPr>
        <w:t xml:space="preserve">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w:t>
      </w:r>
      <w:r>
        <w:rPr>
          <w:rFonts w:hint="eastAsia" w:eastAsia="仿宋_GB2312"/>
          <w:sz w:val="32"/>
          <w:szCs w:val="32"/>
          <w:highlight w:val="none"/>
          <w:u w:val="none"/>
        </w:rPr>
        <w:t>具体情况如下：</w:t>
      </w:r>
    </w:p>
    <w:p w14:paraId="6426ED1E">
      <w:pPr>
        <w:pStyle w:val="8"/>
        <w:tabs>
          <w:tab w:val="left" w:pos="4275"/>
        </w:tabs>
        <w:spacing w:after="0" w:line="600" w:lineRule="exact"/>
        <w:ind w:firstLine="643" w:firstLineChars="200"/>
        <w:rPr>
          <w:rFonts w:ascii="楷体" w:hAnsi="楷体" w:eastAsia="楷体" w:cs="楷体"/>
          <w:b/>
          <w:bCs/>
          <w:sz w:val="32"/>
          <w:szCs w:val="32"/>
          <w:highlight w:val="none"/>
          <w:u w:val="none"/>
        </w:rPr>
      </w:pPr>
      <w:r>
        <w:rPr>
          <w:rFonts w:hint="eastAsia" w:ascii="楷体" w:hAnsi="楷体" w:eastAsia="楷体" w:cs="楷体"/>
          <w:b/>
          <w:bCs/>
          <w:sz w:val="32"/>
          <w:szCs w:val="32"/>
          <w:highlight w:val="none"/>
          <w:u w:val="none"/>
        </w:rPr>
        <w:t>（</w:t>
      </w:r>
      <w:r>
        <w:rPr>
          <w:rFonts w:hint="eastAsia" w:ascii="楷体" w:hAnsi="楷体" w:eastAsia="楷体" w:cs="楷体"/>
          <w:b/>
          <w:bCs/>
          <w:sz w:val="32"/>
          <w:szCs w:val="32"/>
          <w:highlight w:val="none"/>
          <w:u w:val="none"/>
          <w:lang w:val="en-US" w:eastAsia="zh-CN"/>
        </w:rPr>
        <w:t>一</w:t>
      </w:r>
      <w:r>
        <w:rPr>
          <w:rFonts w:hint="eastAsia" w:ascii="楷体" w:hAnsi="楷体" w:eastAsia="楷体" w:cs="楷体"/>
          <w:b/>
          <w:bCs/>
          <w:sz w:val="32"/>
          <w:szCs w:val="32"/>
          <w:highlight w:val="none"/>
          <w:u w:val="none"/>
        </w:rPr>
        <w:t>）</w:t>
      </w:r>
      <w:r>
        <w:rPr>
          <w:rFonts w:hint="eastAsia" w:ascii="楷体" w:hAnsi="楷体" w:eastAsia="楷体" w:cs="楷体"/>
          <w:b/>
          <w:bCs/>
          <w:sz w:val="32"/>
          <w:szCs w:val="32"/>
          <w:highlight w:val="none"/>
          <w:u w:val="none"/>
          <w:lang w:val="en-US" w:eastAsia="zh-CN"/>
        </w:rPr>
        <w:t>科学技术支出</w:t>
      </w:r>
      <w:r>
        <w:rPr>
          <w:rFonts w:hint="eastAsia" w:ascii="楷体" w:hAnsi="楷体" w:eastAsia="楷体" w:cs="楷体"/>
          <w:b/>
          <w:bCs/>
          <w:sz w:val="32"/>
          <w:szCs w:val="32"/>
          <w:highlight w:val="none"/>
          <w:u w:val="none"/>
        </w:rPr>
        <w:t>（类）</w:t>
      </w:r>
    </w:p>
    <w:p w14:paraId="3F3DCA86">
      <w:pPr>
        <w:pStyle w:val="8"/>
        <w:spacing w:after="0" w:line="600" w:lineRule="exact"/>
        <w:ind w:firstLine="640" w:firstLineChars="200"/>
        <w:rPr>
          <w:rFonts w:eastAsia="仿宋_GB2312"/>
          <w:sz w:val="32"/>
          <w:szCs w:val="32"/>
          <w:highlight w:val="none"/>
          <w:u w:val="none"/>
        </w:rPr>
      </w:pPr>
      <w:r>
        <w:rPr>
          <w:rFonts w:hint="eastAsia" w:eastAsia="仿宋_GB2312"/>
          <w:sz w:val="32"/>
          <w:szCs w:val="32"/>
          <w:highlight w:val="none"/>
          <w:u w:val="none"/>
          <w:lang w:val="en-US" w:eastAsia="zh-CN"/>
        </w:rPr>
        <w:t>科学技术支出（类）</w:t>
      </w:r>
      <w:r>
        <w:rPr>
          <w:rFonts w:hint="eastAsia" w:eastAsia="仿宋_GB2312"/>
          <w:sz w:val="32"/>
          <w:szCs w:val="32"/>
          <w:highlight w:val="none"/>
          <w:u w:val="none"/>
        </w:rPr>
        <w:t>年初预算数为</w:t>
      </w:r>
      <w:r>
        <w:rPr>
          <w:rFonts w:eastAsia="仿宋_GB2312"/>
          <w:sz w:val="32"/>
          <w:szCs w:val="32"/>
          <w:highlight w:val="none"/>
          <w:u w:val="none"/>
        </w:rPr>
        <w:t xml:space="preserve"> </w:t>
      </w:r>
      <w:r>
        <w:rPr>
          <w:rFonts w:hint="eastAsia" w:eastAsia="仿宋_GB2312"/>
          <w:sz w:val="32"/>
          <w:szCs w:val="32"/>
          <w:highlight w:val="none"/>
          <w:u w:val="none"/>
          <w:lang w:val="en-US" w:eastAsia="zh-CN"/>
        </w:rPr>
        <w:t>33.10</w:t>
      </w:r>
      <w:r>
        <w:rPr>
          <w:rFonts w:eastAsia="仿宋_GB2312"/>
          <w:sz w:val="32"/>
          <w:szCs w:val="32"/>
          <w:highlight w:val="none"/>
          <w:u w:val="none"/>
        </w:rPr>
        <w:t>万元</w:t>
      </w:r>
      <w:r>
        <w:rPr>
          <w:rFonts w:hint="eastAsia" w:eastAsia="仿宋_GB2312"/>
          <w:sz w:val="32"/>
          <w:szCs w:val="32"/>
          <w:highlight w:val="none"/>
          <w:u w:val="none"/>
        </w:rPr>
        <w:t>，与上年相比</w:t>
      </w:r>
      <w:r>
        <w:rPr>
          <w:rFonts w:eastAsia="仿宋_GB2312"/>
          <w:sz w:val="32"/>
          <w:szCs w:val="32"/>
          <w:highlight w:val="none"/>
          <w:u w:val="none"/>
        </w:rPr>
        <w:t>增加</w:t>
      </w:r>
      <w:r>
        <w:rPr>
          <w:rFonts w:hint="eastAsia" w:eastAsia="仿宋_GB2312"/>
          <w:sz w:val="32"/>
          <w:szCs w:val="32"/>
          <w:highlight w:val="none"/>
          <w:u w:val="none"/>
          <w:lang w:val="en-US" w:eastAsia="zh-CN"/>
        </w:rPr>
        <w:t>33.10</w:t>
      </w:r>
      <w:r>
        <w:rPr>
          <w:rFonts w:eastAsia="仿宋_GB2312"/>
          <w:sz w:val="32"/>
          <w:szCs w:val="32"/>
          <w:highlight w:val="none"/>
          <w:u w:val="none"/>
        </w:rPr>
        <w:t xml:space="preserve"> 万元</w:t>
      </w:r>
      <w:r>
        <w:rPr>
          <w:rFonts w:hint="eastAsia" w:eastAsia="仿宋_GB2312"/>
          <w:sz w:val="32"/>
          <w:szCs w:val="32"/>
          <w:highlight w:val="none"/>
          <w:u w:val="none"/>
        </w:rPr>
        <w:t>。其中：</w:t>
      </w:r>
    </w:p>
    <w:p w14:paraId="25E3C016">
      <w:pPr>
        <w:pStyle w:val="8"/>
        <w:tabs>
          <w:tab w:val="left" w:pos="2671"/>
          <w:tab w:val="left" w:pos="5000"/>
          <w:tab w:val="left" w:pos="6190"/>
        </w:tabs>
        <w:spacing w:after="0" w:line="600" w:lineRule="exact"/>
        <w:ind w:firstLine="640" w:firstLineChars="200"/>
        <w:rPr>
          <w:rFonts w:eastAsia="仿宋_GB2312"/>
          <w:sz w:val="32"/>
          <w:szCs w:val="32"/>
          <w:highlight w:val="none"/>
          <w:u w:val="none"/>
        </w:rPr>
      </w:pPr>
      <w:r>
        <w:rPr>
          <w:rFonts w:hint="eastAsia" w:eastAsia="仿宋_GB2312"/>
          <w:sz w:val="32"/>
          <w:szCs w:val="32"/>
          <w:highlight w:val="none"/>
          <w:u w:val="none"/>
          <w:lang w:val="en-US" w:eastAsia="zh-CN"/>
        </w:rPr>
        <w:t>基础研究</w:t>
      </w:r>
      <w:r>
        <w:rPr>
          <w:rFonts w:eastAsia="仿宋_GB2312"/>
          <w:sz w:val="32"/>
          <w:szCs w:val="32"/>
          <w:highlight w:val="none"/>
          <w:u w:val="none"/>
        </w:rPr>
        <w:t>（款）</w:t>
      </w:r>
      <w:r>
        <w:rPr>
          <w:rFonts w:hint="eastAsia" w:eastAsia="仿宋_GB2312"/>
          <w:sz w:val="32"/>
          <w:szCs w:val="32"/>
          <w:highlight w:val="none"/>
          <w:u w:val="none"/>
          <w:lang w:val="en-US" w:eastAsia="zh-CN"/>
        </w:rPr>
        <w:t>自然科学基金</w:t>
      </w:r>
      <w:r>
        <w:rPr>
          <w:rFonts w:eastAsia="仿宋_GB2312"/>
          <w:sz w:val="32"/>
          <w:szCs w:val="32"/>
          <w:highlight w:val="none"/>
          <w:u w:val="none"/>
        </w:rPr>
        <w:t xml:space="preserve">（项）。年初预算 </w:t>
      </w:r>
      <w:r>
        <w:rPr>
          <w:rFonts w:hint="eastAsia" w:eastAsia="仿宋_GB2312"/>
          <w:sz w:val="32"/>
          <w:szCs w:val="32"/>
          <w:highlight w:val="none"/>
          <w:u w:val="none"/>
          <w:lang w:val="en-US" w:eastAsia="zh-CN"/>
        </w:rPr>
        <w:t>13</w:t>
      </w:r>
      <w:r>
        <w:rPr>
          <w:rFonts w:eastAsia="仿宋_GB2312"/>
          <w:sz w:val="32"/>
          <w:szCs w:val="32"/>
          <w:highlight w:val="none"/>
          <w:u w:val="none"/>
        </w:rPr>
        <w:t>万元，与上年相比增加</w:t>
      </w:r>
      <w:r>
        <w:rPr>
          <w:rFonts w:hint="eastAsia" w:eastAsia="仿宋_GB2312"/>
          <w:sz w:val="32"/>
          <w:szCs w:val="32"/>
          <w:highlight w:val="none"/>
          <w:u w:val="none"/>
          <w:lang w:val="en-US" w:eastAsia="zh-CN"/>
        </w:rPr>
        <w:t>13</w:t>
      </w:r>
      <w:r>
        <w:rPr>
          <w:rFonts w:eastAsia="仿宋_GB2312"/>
          <w:sz w:val="32"/>
          <w:szCs w:val="32"/>
          <w:highlight w:val="none"/>
          <w:u w:val="none"/>
        </w:rPr>
        <w:t xml:space="preserve">万元，增长 </w:t>
      </w:r>
      <w:r>
        <w:rPr>
          <w:rFonts w:hint="eastAsia" w:eastAsia="仿宋_GB2312"/>
          <w:sz w:val="32"/>
          <w:szCs w:val="32"/>
          <w:highlight w:val="none"/>
          <w:u w:val="none"/>
          <w:lang w:val="en-US" w:eastAsia="zh-CN"/>
        </w:rPr>
        <w:t>100</w:t>
      </w:r>
      <w:r>
        <w:rPr>
          <w:rFonts w:eastAsia="仿宋_GB2312"/>
          <w:sz w:val="32"/>
          <w:szCs w:val="32"/>
          <w:highlight w:val="none"/>
          <w:u w:val="none"/>
        </w:rPr>
        <w:t xml:space="preserve">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。变动原因：</w:t>
      </w:r>
      <w:r>
        <w:rPr>
          <w:rFonts w:hint="eastAsia" w:ascii="仿宋_GB2312" w:hAnsi="仿宋_GB2312" w:eastAsia="仿宋_GB2312"/>
          <w:sz w:val="32"/>
          <w:szCs w:val="32"/>
          <w:highlight w:val="none"/>
          <w:u w:val="none"/>
          <w:lang w:val="en-US" w:eastAsia="zh-CN"/>
        </w:rPr>
        <w:t>该项内容在2025年年初预算时未申请该项支出</w:t>
      </w:r>
      <w:r>
        <w:rPr>
          <w:rFonts w:eastAsia="仿宋_GB2312"/>
          <w:sz w:val="32"/>
          <w:szCs w:val="32"/>
          <w:highlight w:val="none"/>
          <w:u w:val="none"/>
        </w:rPr>
        <w:t>。</w:t>
      </w:r>
    </w:p>
    <w:p w14:paraId="30C9608C">
      <w:pPr>
        <w:pStyle w:val="8"/>
        <w:tabs>
          <w:tab w:val="left" w:pos="2671"/>
          <w:tab w:val="left" w:pos="5000"/>
          <w:tab w:val="left" w:pos="6190"/>
        </w:tabs>
        <w:spacing w:after="0" w:line="600" w:lineRule="exact"/>
        <w:ind w:firstLine="640" w:firstLineChars="200"/>
        <w:rPr>
          <w:rFonts w:hint="default" w:eastAsia="仿宋_GB2312"/>
          <w:sz w:val="32"/>
          <w:szCs w:val="32"/>
          <w:highlight w:val="none"/>
          <w:u w:val="none"/>
          <w:lang w:val="en-US" w:eastAsia="zh-CN"/>
        </w:rPr>
      </w:pPr>
      <w:r>
        <w:rPr>
          <w:rFonts w:hint="eastAsia" w:eastAsia="仿宋_GB2312"/>
          <w:sz w:val="32"/>
          <w:szCs w:val="32"/>
          <w:highlight w:val="none"/>
          <w:u w:val="none"/>
          <w:lang w:val="en-US" w:eastAsia="zh-CN"/>
        </w:rPr>
        <w:t>技术研究与开发（款）科技成果转化与扩散（项）。年初预算20.10万元，与上年相比增加20.10万元，增长100%。变动原因：该项内容在2025年年初预算时未申请该项支出。</w:t>
      </w:r>
    </w:p>
    <w:p w14:paraId="13859029">
      <w:pPr>
        <w:pStyle w:val="8"/>
        <w:tabs>
          <w:tab w:val="left" w:pos="4275"/>
        </w:tabs>
        <w:spacing w:after="0" w:line="600" w:lineRule="exact"/>
        <w:ind w:firstLine="643" w:firstLineChars="200"/>
        <w:rPr>
          <w:rFonts w:ascii="楷体" w:hAnsi="楷体" w:eastAsia="楷体" w:cs="楷体"/>
          <w:b/>
          <w:bCs/>
          <w:sz w:val="32"/>
          <w:szCs w:val="32"/>
          <w:highlight w:val="none"/>
          <w:u w:val="none"/>
        </w:rPr>
      </w:pPr>
      <w:r>
        <w:rPr>
          <w:rFonts w:hint="eastAsia" w:ascii="楷体" w:hAnsi="楷体" w:eastAsia="楷体" w:cs="楷体"/>
          <w:b/>
          <w:bCs/>
          <w:sz w:val="32"/>
          <w:szCs w:val="32"/>
          <w:highlight w:val="none"/>
          <w:u w:val="none"/>
        </w:rPr>
        <w:t>（</w:t>
      </w:r>
      <w:r>
        <w:rPr>
          <w:rFonts w:hint="eastAsia" w:ascii="楷体" w:hAnsi="楷体" w:eastAsia="楷体" w:cs="楷体"/>
          <w:b/>
          <w:bCs/>
          <w:sz w:val="32"/>
          <w:szCs w:val="32"/>
          <w:highlight w:val="none"/>
          <w:u w:val="none"/>
          <w:lang w:val="en-US" w:eastAsia="zh-CN"/>
        </w:rPr>
        <w:t>二</w:t>
      </w:r>
      <w:r>
        <w:rPr>
          <w:rFonts w:hint="eastAsia" w:ascii="楷体" w:hAnsi="楷体" w:eastAsia="楷体" w:cs="楷体"/>
          <w:b/>
          <w:bCs/>
          <w:sz w:val="32"/>
          <w:szCs w:val="32"/>
          <w:highlight w:val="none"/>
          <w:u w:val="none"/>
        </w:rPr>
        <w:t>）</w:t>
      </w:r>
      <w:r>
        <w:rPr>
          <w:rFonts w:hint="eastAsia" w:ascii="楷体" w:hAnsi="楷体" w:eastAsia="楷体" w:cs="楷体"/>
          <w:b/>
          <w:bCs/>
          <w:sz w:val="32"/>
          <w:szCs w:val="32"/>
          <w:highlight w:val="none"/>
          <w:u w:val="none"/>
          <w:lang w:val="en-US" w:eastAsia="zh-CN"/>
        </w:rPr>
        <w:t>社会保障和就业支出</w:t>
      </w:r>
      <w:r>
        <w:rPr>
          <w:rFonts w:hint="eastAsia" w:ascii="楷体" w:hAnsi="楷体" w:eastAsia="楷体" w:cs="楷体"/>
          <w:b/>
          <w:bCs/>
          <w:sz w:val="32"/>
          <w:szCs w:val="32"/>
          <w:highlight w:val="none"/>
          <w:u w:val="none"/>
        </w:rPr>
        <w:t>（类）</w:t>
      </w:r>
    </w:p>
    <w:p w14:paraId="4F448FE4">
      <w:pPr>
        <w:pStyle w:val="8"/>
        <w:spacing w:after="0" w:line="600" w:lineRule="exact"/>
        <w:ind w:firstLine="640" w:firstLineChars="200"/>
        <w:rPr>
          <w:rFonts w:eastAsia="仿宋_GB2312"/>
          <w:sz w:val="32"/>
          <w:szCs w:val="32"/>
          <w:highlight w:val="none"/>
          <w:u w:val="none"/>
        </w:rPr>
      </w:pPr>
      <w:r>
        <w:rPr>
          <w:rFonts w:hint="eastAsia" w:eastAsia="仿宋_GB2312"/>
          <w:sz w:val="32"/>
          <w:szCs w:val="32"/>
          <w:highlight w:val="none"/>
          <w:u w:val="none"/>
          <w:lang w:val="en-US" w:eastAsia="zh-CN"/>
        </w:rPr>
        <w:t>社会保障和就业支出（类）</w:t>
      </w:r>
      <w:r>
        <w:rPr>
          <w:rFonts w:hint="eastAsia" w:eastAsia="仿宋_GB2312"/>
          <w:sz w:val="32"/>
          <w:szCs w:val="32"/>
          <w:highlight w:val="none"/>
          <w:u w:val="none"/>
        </w:rPr>
        <w:t>年初预算数为</w:t>
      </w:r>
      <w:r>
        <w:rPr>
          <w:rFonts w:eastAsia="仿宋_GB2312"/>
          <w:sz w:val="32"/>
          <w:szCs w:val="32"/>
          <w:highlight w:val="none"/>
          <w:u w:val="none"/>
        </w:rPr>
        <w:t xml:space="preserve"> </w:t>
      </w:r>
      <w:r>
        <w:rPr>
          <w:rFonts w:hint="eastAsia" w:eastAsia="仿宋_GB2312"/>
          <w:sz w:val="32"/>
          <w:szCs w:val="32"/>
          <w:highlight w:val="none"/>
          <w:u w:val="none"/>
          <w:lang w:val="en-US" w:eastAsia="zh-CN"/>
        </w:rPr>
        <w:t>292.98</w:t>
      </w:r>
      <w:r>
        <w:rPr>
          <w:rFonts w:eastAsia="仿宋_GB2312"/>
          <w:sz w:val="32"/>
          <w:szCs w:val="32"/>
          <w:highlight w:val="none"/>
          <w:u w:val="none"/>
        </w:rPr>
        <w:t>万元</w:t>
      </w:r>
      <w:r>
        <w:rPr>
          <w:rFonts w:hint="eastAsia" w:eastAsia="仿宋_GB2312"/>
          <w:sz w:val="32"/>
          <w:szCs w:val="32"/>
          <w:highlight w:val="none"/>
          <w:u w:val="none"/>
        </w:rPr>
        <w:t>，与上年相比</w:t>
      </w:r>
      <w:r>
        <w:rPr>
          <w:rFonts w:hint="eastAsia" w:eastAsia="仿宋_GB2312"/>
          <w:sz w:val="32"/>
          <w:szCs w:val="32"/>
          <w:highlight w:val="none"/>
          <w:u w:val="none"/>
          <w:lang w:val="en-US" w:eastAsia="zh-CN"/>
        </w:rPr>
        <w:t>减少9.62</w:t>
      </w:r>
      <w:r>
        <w:rPr>
          <w:rFonts w:eastAsia="仿宋_GB2312"/>
          <w:sz w:val="32"/>
          <w:szCs w:val="32"/>
          <w:highlight w:val="none"/>
          <w:u w:val="none"/>
        </w:rPr>
        <w:t>万元</w:t>
      </w:r>
      <w:r>
        <w:rPr>
          <w:rFonts w:hint="eastAsia" w:eastAsia="仿宋_GB2312"/>
          <w:sz w:val="32"/>
          <w:szCs w:val="32"/>
          <w:highlight w:val="none"/>
          <w:u w:val="none"/>
        </w:rPr>
        <w:t>。其中：</w:t>
      </w:r>
    </w:p>
    <w:p w14:paraId="7EF8C3FD">
      <w:pPr>
        <w:pStyle w:val="8"/>
        <w:spacing w:after="0" w:line="600" w:lineRule="exact"/>
        <w:ind w:firstLine="640" w:firstLineChars="200"/>
        <w:rPr>
          <w:rFonts w:eastAsia="仿宋_GB2312"/>
          <w:sz w:val="32"/>
          <w:szCs w:val="32"/>
          <w:highlight w:val="none"/>
          <w:u w:val="none"/>
        </w:rPr>
      </w:pPr>
      <w:r>
        <w:rPr>
          <w:rFonts w:hint="eastAsia" w:eastAsia="仿宋_GB2312"/>
          <w:sz w:val="32"/>
          <w:szCs w:val="32"/>
          <w:highlight w:val="none"/>
          <w:u w:val="none"/>
          <w:lang w:val="en-US" w:eastAsia="zh-CN"/>
        </w:rPr>
        <w:t>行政事业单位养老支出</w:t>
      </w:r>
      <w:r>
        <w:rPr>
          <w:rFonts w:eastAsia="仿宋_GB2312"/>
          <w:sz w:val="32"/>
          <w:szCs w:val="32"/>
          <w:highlight w:val="none"/>
          <w:u w:val="none"/>
        </w:rPr>
        <w:t>（款）</w:t>
      </w:r>
      <w:r>
        <w:rPr>
          <w:rFonts w:hint="eastAsia" w:eastAsia="仿宋_GB2312"/>
          <w:sz w:val="32"/>
          <w:szCs w:val="32"/>
          <w:highlight w:val="none"/>
          <w:u w:val="none"/>
          <w:lang w:val="en-US" w:eastAsia="zh-CN"/>
        </w:rPr>
        <w:t>事业单位离退休</w:t>
      </w:r>
      <w:r>
        <w:rPr>
          <w:rFonts w:eastAsia="仿宋_GB2312"/>
          <w:sz w:val="32"/>
          <w:szCs w:val="32"/>
          <w:highlight w:val="none"/>
          <w:u w:val="none"/>
        </w:rPr>
        <w:t xml:space="preserve">（项）。年初预算 </w:t>
      </w:r>
      <w:r>
        <w:rPr>
          <w:rFonts w:hint="eastAsia" w:eastAsia="仿宋_GB2312"/>
          <w:sz w:val="32"/>
          <w:szCs w:val="32"/>
          <w:highlight w:val="none"/>
          <w:u w:val="none"/>
          <w:lang w:val="en-US" w:eastAsia="zh-CN"/>
        </w:rPr>
        <w:t>292.98</w:t>
      </w:r>
      <w:r>
        <w:rPr>
          <w:rFonts w:eastAsia="仿宋_GB2312"/>
          <w:sz w:val="32"/>
          <w:szCs w:val="32"/>
          <w:highlight w:val="none"/>
          <w:u w:val="none"/>
        </w:rPr>
        <w:t xml:space="preserve"> 万元，与上年相比</w:t>
      </w:r>
      <w:r>
        <w:rPr>
          <w:rFonts w:hint="eastAsia" w:eastAsia="仿宋_GB2312"/>
          <w:sz w:val="32"/>
          <w:szCs w:val="32"/>
          <w:highlight w:val="none"/>
          <w:u w:val="none"/>
          <w:lang w:val="en-US" w:eastAsia="zh-CN"/>
        </w:rPr>
        <w:t>减少9.62</w:t>
      </w:r>
      <w:r>
        <w:rPr>
          <w:rFonts w:eastAsia="仿宋_GB2312"/>
          <w:sz w:val="32"/>
          <w:szCs w:val="32"/>
          <w:highlight w:val="none"/>
          <w:u w:val="none"/>
        </w:rPr>
        <w:t>万元，增长</w:t>
      </w:r>
      <w:r>
        <w:rPr>
          <w:rFonts w:hint="eastAsia" w:eastAsia="仿宋_GB2312"/>
          <w:sz w:val="32"/>
          <w:szCs w:val="32"/>
          <w:highlight w:val="none"/>
          <w:u w:val="none"/>
          <w:lang w:val="en-US" w:eastAsia="zh-CN"/>
        </w:rPr>
        <w:t>3.18</w:t>
      </w:r>
      <w:r>
        <w:rPr>
          <w:rFonts w:eastAsia="仿宋_GB2312"/>
          <w:sz w:val="32"/>
          <w:szCs w:val="32"/>
          <w:highlight w:val="none"/>
          <w:u w:val="none"/>
        </w:rPr>
        <w:t xml:space="preserve">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。变动原因：</w:t>
      </w:r>
      <w:r>
        <w:rPr>
          <w:rFonts w:hint="eastAsia" w:eastAsia="仿宋_GB2312"/>
          <w:sz w:val="32"/>
          <w:szCs w:val="32"/>
          <w:highlight w:val="none"/>
          <w:u w:val="none"/>
          <w:lang w:val="en-US" w:eastAsia="zh-CN"/>
        </w:rPr>
        <w:t>主要为单位离退休人员的增减变动导致的差异</w:t>
      </w:r>
      <w:r>
        <w:rPr>
          <w:rFonts w:eastAsia="仿宋_GB2312"/>
          <w:sz w:val="32"/>
          <w:szCs w:val="32"/>
          <w:highlight w:val="none"/>
          <w:u w:val="none"/>
        </w:rPr>
        <w:t>。</w:t>
      </w:r>
    </w:p>
    <w:p w14:paraId="1CD5B132">
      <w:pPr>
        <w:pStyle w:val="8"/>
        <w:tabs>
          <w:tab w:val="left" w:pos="4275"/>
        </w:tabs>
        <w:spacing w:after="0" w:line="600" w:lineRule="exact"/>
        <w:ind w:firstLine="643" w:firstLineChars="200"/>
        <w:rPr>
          <w:rFonts w:ascii="楷体" w:hAnsi="楷体" w:eastAsia="楷体" w:cs="楷体"/>
          <w:b/>
          <w:bCs/>
          <w:sz w:val="32"/>
          <w:szCs w:val="32"/>
          <w:highlight w:val="none"/>
          <w:u w:val="none"/>
        </w:rPr>
      </w:pPr>
      <w:r>
        <w:rPr>
          <w:rFonts w:hint="eastAsia" w:ascii="楷体" w:hAnsi="楷体" w:eastAsia="楷体" w:cs="楷体"/>
          <w:b/>
          <w:bCs/>
          <w:sz w:val="32"/>
          <w:szCs w:val="32"/>
          <w:highlight w:val="none"/>
          <w:u w:val="none"/>
        </w:rPr>
        <w:t>（</w:t>
      </w:r>
      <w:r>
        <w:rPr>
          <w:rFonts w:hint="eastAsia" w:ascii="楷体" w:hAnsi="楷体" w:eastAsia="楷体" w:cs="楷体"/>
          <w:b/>
          <w:bCs/>
          <w:sz w:val="32"/>
          <w:szCs w:val="32"/>
          <w:highlight w:val="none"/>
          <w:u w:val="none"/>
          <w:lang w:val="en-US" w:eastAsia="zh-CN"/>
        </w:rPr>
        <w:t>三</w:t>
      </w:r>
      <w:r>
        <w:rPr>
          <w:rFonts w:hint="eastAsia" w:ascii="楷体" w:hAnsi="楷体" w:eastAsia="楷体" w:cs="楷体"/>
          <w:b/>
          <w:bCs/>
          <w:sz w:val="32"/>
          <w:szCs w:val="32"/>
          <w:highlight w:val="none"/>
          <w:u w:val="none"/>
        </w:rPr>
        <w:t>）</w:t>
      </w:r>
      <w:r>
        <w:rPr>
          <w:rFonts w:hint="eastAsia" w:ascii="楷体" w:hAnsi="楷体" w:eastAsia="楷体" w:cs="楷体"/>
          <w:b/>
          <w:bCs/>
          <w:sz w:val="32"/>
          <w:szCs w:val="32"/>
          <w:highlight w:val="none"/>
          <w:u w:val="none"/>
          <w:lang w:val="en-US" w:eastAsia="zh-CN"/>
        </w:rPr>
        <w:t>卫生健康支出</w:t>
      </w:r>
      <w:r>
        <w:rPr>
          <w:rFonts w:hint="eastAsia" w:ascii="楷体" w:hAnsi="楷体" w:eastAsia="楷体" w:cs="楷体"/>
          <w:b/>
          <w:bCs/>
          <w:sz w:val="32"/>
          <w:szCs w:val="32"/>
          <w:highlight w:val="none"/>
          <w:u w:val="none"/>
        </w:rPr>
        <w:t>（类）</w:t>
      </w:r>
    </w:p>
    <w:p w14:paraId="45A4964D">
      <w:pPr>
        <w:pStyle w:val="8"/>
        <w:spacing w:after="0" w:line="600" w:lineRule="exact"/>
        <w:ind w:firstLine="640" w:firstLineChars="200"/>
        <w:rPr>
          <w:rFonts w:hint="eastAsia" w:ascii="仿宋_GB2312" w:hAnsi="仿宋_GB2312" w:eastAsia="仿宋_GB2312"/>
          <w:sz w:val="32"/>
          <w:szCs w:val="32"/>
          <w:highlight w:val="none"/>
          <w:u w:val="none"/>
          <w:lang w:val="en-US" w:eastAsia="zh-CN"/>
        </w:rPr>
      </w:pPr>
      <w:r>
        <w:rPr>
          <w:rFonts w:hint="eastAsia" w:ascii="仿宋_GB2312" w:hAnsi="仿宋_GB2312" w:eastAsia="仿宋_GB2312"/>
          <w:sz w:val="32"/>
          <w:szCs w:val="32"/>
          <w:highlight w:val="none"/>
          <w:u w:val="none"/>
          <w:lang w:val="en-US" w:eastAsia="zh-CN"/>
        </w:rPr>
        <w:t>卫生健康支出（类）年初预算数为13465.12万元，与上年相比增加6233.79万元。其中：</w:t>
      </w:r>
    </w:p>
    <w:p w14:paraId="38E36259">
      <w:pPr>
        <w:pStyle w:val="8"/>
        <w:numPr>
          <w:ilvl w:val="0"/>
          <w:numId w:val="3"/>
        </w:numPr>
        <w:spacing w:after="0" w:line="600" w:lineRule="exact"/>
        <w:ind w:firstLine="640" w:firstLineChars="200"/>
        <w:rPr>
          <w:rFonts w:hint="eastAsia" w:ascii="仿宋_GB2312" w:hAnsi="仿宋_GB2312" w:eastAsia="仿宋_GB2312"/>
          <w:sz w:val="32"/>
          <w:szCs w:val="32"/>
          <w:highlight w:val="none"/>
          <w:u w:val="none"/>
          <w:lang w:val="en-US" w:eastAsia="zh-CN"/>
        </w:rPr>
      </w:pPr>
      <w:r>
        <w:rPr>
          <w:rFonts w:hint="eastAsia" w:ascii="仿宋_GB2312" w:hAnsi="仿宋_GB2312" w:eastAsia="仿宋_GB2312"/>
          <w:sz w:val="32"/>
          <w:szCs w:val="32"/>
          <w:highlight w:val="none"/>
          <w:u w:val="none"/>
          <w:lang w:val="en-US" w:eastAsia="zh-CN"/>
        </w:rPr>
        <w:t>公立医院（款）传染病医院（项）。年初预算数12783.32万元，与上年相比增加7534万元，增长143.52%。变动原因：2026年度年初人员经费预算增加628万元、新增内蒙古自治区第四医院传染病大楼开办经费6936万元、减少事业经费支出30万元。</w:t>
      </w:r>
    </w:p>
    <w:p w14:paraId="33FF5F7C">
      <w:pPr>
        <w:pStyle w:val="8"/>
        <w:numPr>
          <w:ilvl w:val="0"/>
          <w:numId w:val="3"/>
        </w:numPr>
        <w:spacing w:after="0" w:line="600" w:lineRule="exact"/>
        <w:ind w:firstLine="640" w:firstLineChars="200"/>
        <w:rPr>
          <w:rFonts w:hint="default" w:ascii="仿宋_GB2312" w:hAnsi="仿宋_GB2312" w:eastAsia="仿宋_GB2312"/>
          <w:sz w:val="32"/>
          <w:szCs w:val="32"/>
          <w:highlight w:val="none"/>
          <w:u w:val="none"/>
          <w:lang w:val="en-US" w:eastAsia="zh-CN"/>
        </w:rPr>
      </w:pPr>
      <w:r>
        <w:rPr>
          <w:rFonts w:hint="eastAsia" w:ascii="仿宋_GB2312" w:hAnsi="仿宋_GB2312" w:eastAsia="仿宋_GB2312"/>
          <w:sz w:val="32"/>
          <w:szCs w:val="32"/>
          <w:highlight w:val="none"/>
          <w:u w:val="none"/>
          <w:lang w:val="en-US" w:eastAsia="zh-CN"/>
        </w:rPr>
        <w:t>公立医院（款）其他公立医院（项）。年初预算数510.80万元，与上年相比增加366.8万元，增长254.72%。变动原因：2025年年初预算公立医院综合改革补助资金144万元，2026年度年初预算取消该项目；同时，2026年度申请医疗服务与保障能力提升（医疗卫生机构能力建设）补助资金500万元用于加强医院重点学科能力建设，本年度还有上年度结转结余的自治区本级医疗卫生机构高质量发展项目资金10.8万元。</w:t>
      </w:r>
    </w:p>
    <w:p w14:paraId="06C46D89">
      <w:pPr>
        <w:pStyle w:val="8"/>
        <w:numPr>
          <w:ilvl w:val="0"/>
          <w:numId w:val="3"/>
        </w:numPr>
        <w:spacing w:after="0" w:line="600" w:lineRule="exact"/>
        <w:ind w:firstLine="640" w:firstLineChars="200"/>
        <w:rPr>
          <w:rFonts w:hint="default" w:ascii="仿宋_GB2312" w:hAnsi="仿宋_GB2312" w:eastAsia="仿宋_GB2312"/>
          <w:sz w:val="32"/>
          <w:szCs w:val="32"/>
          <w:highlight w:val="none"/>
          <w:u w:val="none"/>
          <w:lang w:val="en-US" w:eastAsia="zh-CN"/>
        </w:rPr>
      </w:pPr>
      <w:r>
        <w:rPr>
          <w:rFonts w:hint="eastAsia" w:ascii="仿宋_GB2312" w:hAnsi="仿宋_GB2312" w:eastAsia="仿宋_GB2312"/>
          <w:sz w:val="32"/>
          <w:szCs w:val="32"/>
          <w:highlight w:val="none"/>
          <w:u w:val="none"/>
          <w:lang w:val="en-US" w:eastAsia="zh-CN"/>
        </w:rPr>
        <w:t>公共卫生（款）重大公共卫生服务（项）。年初预算64万元，与上年相比减少477.00万元，减少88.17%。变动原因：2026年度重大公共卫生服务补助资金由150万减少至64万，减少86万元；2025年度的</w:t>
      </w:r>
      <w:r>
        <w:rPr>
          <w:rFonts w:hint="eastAsia" w:eastAsia="仿宋_GB2312"/>
          <w:sz w:val="32"/>
          <w:szCs w:val="32"/>
          <w:highlight w:val="none"/>
          <w:u w:val="none"/>
          <w:lang w:val="en-US" w:eastAsia="zh-CN"/>
        </w:rPr>
        <w:t>新冠患者救治费用财政补助资金391万元已结束，本年度没有该项目。</w:t>
      </w:r>
    </w:p>
    <w:p w14:paraId="2DBA7BDE">
      <w:pPr>
        <w:pStyle w:val="8"/>
        <w:numPr>
          <w:ilvl w:val="0"/>
          <w:numId w:val="3"/>
        </w:numPr>
        <w:spacing w:after="0" w:line="600" w:lineRule="exact"/>
        <w:ind w:firstLine="640" w:firstLineChars="200"/>
        <w:rPr>
          <w:rFonts w:hint="default" w:ascii="仿宋_GB2312" w:hAnsi="仿宋_GB2312" w:eastAsia="仿宋_GB2312"/>
          <w:sz w:val="32"/>
          <w:szCs w:val="32"/>
          <w:highlight w:val="none"/>
          <w:u w:val="none"/>
          <w:lang w:val="en-US" w:eastAsia="zh-CN"/>
        </w:rPr>
      </w:pPr>
      <w:r>
        <w:rPr>
          <w:rFonts w:hint="eastAsia" w:ascii="仿宋_GB2312" w:hAnsi="仿宋_GB2312" w:eastAsia="仿宋_GB2312"/>
          <w:sz w:val="32"/>
          <w:szCs w:val="32"/>
          <w:highlight w:val="none"/>
          <w:u w:val="none"/>
          <w:lang w:val="en-US" w:eastAsia="zh-CN"/>
        </w:rPr>
        <w:t>中医药事务（款）中医（民族医）药专项（项）。年初预算2万元，与上年相比增加2万元，增长100%。变动原因：2026年医院大力发展中医（民族医）学传承发展，新增中（蒙）医能力建设和学术继承专项资金2万元。</w:t>
      </w:r>
    </w:p>
    <w:p w14:paraId="11348733">
      <w:pPr>
        <w:pStyle w:val="8"/>
        <w:numPr>
          <w:ilvl w:val="0"/>
          <w:numId w:val="3"/>
        </w:numPr>
        <w:spacing w:after="0" w:line="600" w:lineRule="exact"/>
        <w:ind w:firstLine="640" w:firstLineChars="200"/>
        <w:rPr>
          <w:rFonts w:hint="default" w:ascii="仿宋_GB2312" w:hAnsi="仿宋_GB2312" w:eastAsia="仿宋_GB2312"/>
          <w:sz w:val="32"/>
          <w:szCs w:val="32"/>
          <w:highlight w:val="none"/>
          <w:u w:val="none"/>
          <w:lang w:val="en-US" w:eastAsia="zh-CN"/>
        </w:rPr>
      </w:pPr>
      <w:r>
        <w:rPr>
          <w:rFonts w:hint="eastAsia" w:ascii="仿宋_GB2312" w:hAnsi="仿宋_GB2312" w:eastAsia="仿宋_GB2312"/>
          <w:sz w:val="32"/>
          <w:szCs w:val="32"/>
          <w:highlight w:val="none"/>
          <w:u w:val="none"/>
          <w:lang w:val="en-US" w:eastAsia="zh-CN"/>
        </w:rPr>
        <w:t>其他卫生健康支出（款）其他卫生健康支出（项）。年初预算105万元，与上年相比增加105万元，增长100%。变动原因：2025年新增学科建设、健康教育及12320热线服务费105万元。</w:t>
      </w:r>
    </w:p>
    <w:p w14:paraId="57E5209D">
      <w:pPr>
        <w:spacing w:line="600" w:lineRule="exact"/>
        <w:ind w:left="0" w:leftChars="0" w:firstLine="640" w:firstLineChars="200"/>
        <w:outlineLvl w:val="2"/>
        <w:rPr>
          <w:rFonts w:eastAsia="黑体" w:cs="黑体"/>
          <w:sz w:val="32"/>
          <w:szCs w:val="36"/>
          <w:highlight w:val="none"/>
          <w:u w:val="none"/>
        </w:rPr>
      </w:pPr>
      <w:r>
        <w:rPr>
          <w:rFonts w:hint="eastAsia" w:eastAsia="黑体" w:cs="黑体"/>
          <w:sz w:val="32"/>
          <w:szCs w:val="36"/>
          <w:highlight w:val="none"/>
          <w:u w:val="none"/>
        </w:rPr>
        <w:t>六、一般公共预算基本支出预算情况说明</w:t>
      </w:r>
    </w:p>
    <w:p w14:paraId="4872DB9E">
      <w:pPr>
        <w:pStyle w:val="8"/>
        <w:tabs>
          <w:tab w:val="left" w:pos="2671"/>
          <w:tab w:val="left" w:pos="5000"/>
          <w:tab w:val="left" w:pos="6190"/>
        </w:tabs>
        <w:spacing w:after="0" w:line="600" w:lineRule="exact"/>
        <w:ind w:firstLine="640" w:firstLineChars="200"/>
        <w:rPr>
          <w:rFonts w:hint="eastAsia" w:ascii="Times New Roman" w:hAnsi="Times New Roman" w:eastAsia="仿宋_GB2312" w:cs="仿宋"/>
          <w:sz w:val="32"/>
          <w:szCs w:val="32"/>
          <w:highlight w:val="none"/>
          <w:u w:val="none"/>
        </w:rPr>
      </w:pPr>
      <w:r>
        <w:rPr>
          <w:rFonts w:hint="eastAsia" w:eastAsia="仿宋_GB2312" w:cs="仿宋"/>
          <w:sz w:val="32"/>
          <w:szCs w:val="32"/>
          <w:highlight w:val="none"/>
          <w:u w:val="none"/>
          <w:lang w:val="en-US" w:eastAsia="zh-CN"/>
        </w:rPr>
        <w:t>内蒙古自治区第四医院（内蒙古自治区胸科医院、内蒙古自治区公共卫生突发事件医疗救治中心）2025</w:t>
      </w:r>
      <w:r>
        <w:rPr>
          <w:rFonts w:hint="eastAsia" w:ascii="Times New Roman" w:hAnsi="Times New Roman" w:eastAsia="仿宋_GB2312" w:cs="仿宋"/>
          <w:sz w:val="32"/>
          <w:szCs w:val="32"/>
          <w:highlight w:val="none"/>
          <w:u w:val="none"/>
        </w:rPr>
        <w:t>年度一般公共预算财政拨款基本支出预算</w:t>
      </w:r>
      <w:r>
        <w:rPr>
          <w:rFonts w:hint="eastAsia" w:eastAsia="仿宋_GB2312" w:cs="仿宋"/>
          <w:sz w:val="32"/>
          <w:szCs w:val="32"/>
          <w:highlight w:val="none"/>
          <w:u w:val="none"/>
          <w:lang w:val="en-US" w:eastAsia="zh-CN"/>
        </w:rPr>
        <w:t>5103.30</w:t>
      </w:r>
      <w:r>
        <w:rPr>
          <w:rFonts w:hint="eastAsia" w:ascii="Times New Roman" w:hAnsi="Times New Roman" w:eastAsia="仿宋_GB2312" w:cs="仿宋"/>
          <w:sz w:val="32"/>
          <w:szCs w:val="32"/>
          <w:highlight w:val="none"/>
          <w:u w:val="none"/>
        </w:rPr>
        <w:t>万元，其中：</w:t>
      </w:r>
    </w:p>
    <w:p w14:paraId="4B7A9348">
      <w:pPr>
        <w:pStyle w:val="8"/>
        <w:spacing w:after="0" w:line="600" w:lineRule="exact"/>
        <w:ind w:left="17" w:leftChars="8" w:firstLine="643" w:firstLineChars="200"/>
        <w:rPr>
          <w:rFonts w:hint="eastAsia" w:ascii="Times New Roman" w:hAnsi="Times New Roman" w:eastAsia="仿宋_GB2312" w:cs="仿宋"/>
          <w:sz w:val="32"/>
          <w:szCs w:val="32"/>
          <w:highlight w:val="none"/>
          <w:u w:val="none"/>
        </w:rPr>
      </w:pPr>
      <w:r>
        <w:rPr>
          <w:rFonts w:hint="eastAsia" w:ascii="Times New Roman" w:hAnsi="Times New Roman" w:eastAsia="仿宋_GB2312" w:cs="仿宋"/>
          <w:b/>
          <w:bCs/>
          <w:sz w:val="32"/>
          <w:szCs w:val="32"/>
          <w:highlight w:val="none"/>
          <w:u w:val="none"/>
        </w:rPr>
        <w:t>（一）人员经费</w:t>
      </w:r>
      <w:r>
        <w:rPr>
          <w:rFonts w:hint="eastAsia" w:eastAsia="仿宋_GB2312" w:cs="仿宋"/>
          <w:b/>
          <w:bCs/>
          <w:sz w:val="32"/>
          <w:szCs w:val="32"/>
          <w:highlight w:val="none"/>
          <w:u w:val="none"/>
          <w:lang w:val="en-US" w:eastAsia="zh-CN"/>
        </w:rPr>
        <w:t>5103.30</w:t>
      </w:r>
      <w:r>
        <w:rPr>
          <w:rFonts w:hint="eastAsia" w:ascii="Times New Roman" w:hAnsi="Times New Roman" w:eastAsia="仿宋_GB2312" w:cs="仿宋"/>
          <w:b/>
          <w:bCs/>
          <w:sz w:val="32"/>
          <w:szCs w:val="32"/>
          <w:highlight w:val="none"/>
          <w:u w:val="none"/>
        </w:rPr>
        <w:t>万元</w:t>
      </w:r>
      <w:r>
        <w:rPr>
          <w:rFonts w:hint="eastAsia" w:ascii="Times New Roman" w:hAnsi="Times New Roman" w:eastAsia="仿宋_GB2312" w:cs="仿宋"/>
          <w:sz w:val="32"/>
          <w:szCs w:val="32"/>
          <w:highlight w:val="none"/>
          <w:u w:val="none"/>
        </w:rPr>
        <w:t>。主要包括：基本工资、津贴补贴、奖金、伙食补助费、绩效工资、住房公积金、医疗费、其他工资福利支出、离休费、退休费、抚恤金、奖励金、其他对个人和家庭的补助等。</w:t>
      </w:r>
    </w:p>
    <w:p w14:paraId="585CCD6E">
      <w:pPr>
        <w:pStyle w:val="8"/>
        <w:tabs>
          <w:tab w:val="left" w:pos="2671"/>
          <w:tab w:val="left" w:pos="5000"/>
          <w:tab w:val="left" w:pos="6190"/>
        </w:tabs>
        <w:spacing w:after="0" w:line="600" w:lineRule="exact"/>
        <w:ind w:firstLine="643" w:firstLineChars="200"/>
        <w:rPr>
          <w:rFonts w:hint="default" w:ascii="Times New Roman" w:hAnsi="Times New Roman" w:eastAsia="仿宋_GB2312" w:cs="仿宋"/>
          <w:sz w:val="32"/>
          <w:szCs w:val="32"/>
          <w:highlight w:val="none"/>
          <w:u w:val="none"/>
          <w:lang w:val="en-US" w:eastAsia="zh-CN"/>
        </w:rPr>
      </w:pPr>
      <w:r>
        <w:rPr>
          <w:rFonts w:hint="eastAsia" w:ascii="Times New Roman" w:hAnsi="Times New Roman" w:eastAsia="仿宋_GB2312" w:cs="仿宋"/>
          <w:b/>
          <w:bCs/>
          <w:sz w:val="32"/>
          <w:szCs w:val="32"/>
          <w:highlight w:val="none"/>
          <w:u w:val="none"/>
        </w:rPr>
        <w:t>（二）公用经费</w:t>
      </w:r>
      <w:r>
        <w:rPr>
          <w:rFonts w:hint="eastAsia" w:eastAsia="仿宋_GB2312" w:cs="仿宋"/>
          <w:b/>
          <w:bCs/>
          <w:sz w:val="32"/>
          <w:szCs w:val="32"/>
          <w:highlight w:val="none"/>
          <w:u w:val="none"/>
          <w:lang w:val="en-US" w:eastAsia="zh-CN"/>
        </w:rPr>
        <w:t>0</w:t>
      </w:r>
      <w:r>
        <w:rPr>
          <w:rFonts w:hint="eastAsia" w:ascii="Times New Roman" w:hAnsi="Times New Roman" w:eastAsia="仿宋_GB2312" w:cs="仿宋"/>
          <w:b/>
          <w:bCs/>
          <w:sz w:val="32"/>
          <w:szCs w:val="32"/>
          <w:highlight w:val="none"/>
          <w:u w:val="none"/>
        </w:rPr>
        <w:t>万元</w:t>
      </w:r>
      <w:r>
        <w:rPr>
          <w:rFonts w:hint="eastAsia" w:ascii="Times New Roman" w:hAnsi="Times New Roman" w:eastAsia="仿宋_GB2312" w:cs="仿宋"/>
          <w:sz w:val="32"/>
          <w:szCs w:val="32"/>
          <w:highlight w:val="none"/>
          <w:u w:val="none"/>
        </w:rPr>
        <w:t>。</w:t>
      </w:r>
      <w:r>
        <w:rPr>
          <w:rFonts w:hint="eastAsia" w:eastAsia="仿宋_GB2312" w:cs="仿宋"/>
          <w:sz w:val="32"/>
          <w:szCs w:val="32"/>
          <w:highlight w:val="none"/>
          <w:u w:val="none"/>
          <w:lang w:val="en-US" w:eastAsia="zh-CN"/>
        </w:rPr>
        <w:t>我单位无此项预算。</w:t>
      </w:r>
    </w:p>
    <w:p w14:paraId="60D38384">
      <w:pPr>
        <w:spacing w:line="600" w:lineRule="exact"/>
        <w:ind w:left="0" w:leftChars="0" w:firstLine="640" w:firstLineChars="200"/>
        <w:outlineLvl w:val="2"/>
        <w:rPr>
          <w:rFonts w:eastAsia="黑体" w:cs="黑体"/>
          <w:sz w:val="32"/>
          <w:szCs w:val="36"/>
          <w:highlight w:val="none"/>
          <w:u w:val="none"/>
        </w:rPr>
      </w:pPr>
      <w:r>
        <w:rPr>
          <w:rFonts w:hint="eastAsia" w:eastAsia="黑体" w:cs="黑体"/>
          <w:sz w:val="32"/>
          <w:szCs w:val="36"/>
          <w:highlight w:val="none"/>
          <w:u w:val="none"/>
        </w:rPr>
        <w:t>七、一般公共预算“三公”经费支出预算情况说明</w:t>
      </w:r>
    </w:p>
    <w:p w14:paraId="53C405B5">
      <w:pPr>
        <w:pStyle w:val="8"/>
        <w:tabs>
          <w:tab w:val="left" w:pos="2671"/>
          <w:tab w:val="left" w:pos="5000"/>
          <w:tab w:val="left" w:pos="6190"/>
        </w:tabs>
        <w:spacing w:after="0" w:line="600" w:lineRule="exact"/>
        <w:ind w:firstLine="640" w:firstLineChars="200"/>
        <w:rPr>
          <w:rFonts w:eastAsia="仿宋_GB2312"/>
          <w:sz w:val="32"/>
          <w:szCs w:val="32"/>
          <w:highlight w:val="none"/>
          <w:u w:val="none"/>
        </w:rPr>
      </w:pPr>
      <w:r>
        <w:rPr>
          <w:rFonts w:hint="eastAsia" w:eastAsia="仿宋_GB2312"/>
          <w:sz w:val="32"/>
          <w:szCs w:val="32"/>
          <w:highlight w:val="none"/>
          <w:u w:val="none"/>
          <w:lang w:val="en-US" w:eastAsia="zh-CN"/>
        </w:rPr>
        <w:t>内蒙古自治区第四医院（内蒙古自治区胸科医院、内蒙古自治区公共卫生突发事件医疗救治中心）2026</w:t>
      </w:r>
      <w:r>
        <w:rPr>
          <w:rFonts w:eastAsia="仿宋_GB2312"/>
          <w:sz w:val="32"/>
          <w:szCs w:val="32"/>
          <w:highlight w:val="none"/>
          <w:u w:val="none"/>
        </w:rPr>
        <w:t>年度一般公共预算拨款安排的“三公”经费预算支出</w:t>
      </w:r>
      <w:r>
        <w:rPr>
          <w:rFonts w:hint="eastAsia" w:eastAsia="仿宋_GB2312"/>
          <w:sz w:val="32"/>
          <w:szCs w:val="32"/>
          <w:highlight w:val="none"/>
          <w:u w:val="none"/>
          <w:lang w:val="en-US" w:eastAsia="zh-CN"/>
        </w:rPr>
        <w:t>0</w:t>
      </w:r>
      <w:r>
        <w:rPr>
          <w:rFonts w:eastAsia="仿宋_GB2312"/>
          <w:sz w:val="32"/>
          <w:szCs w:val="32"/>
          <w:highlight w:val="none"/>
          <w:u w:val="none"/>
        </w:rPr>
        <w:t>万元，其中因公出国（境）费支出</w:t>
      </w:r>
      <w:r>
        <w:rPr>
          <w:rFonts w:hint="eastAsia" w:eastAsia="仿宋_GB2312"/>
          <w:sz w:val="32"/>
          <w:szCs w:val="32"/>
          <w:highlight w:val="none"/>
          <w:u w:val="none"/>
          <w:lang w:val="en-US" w:eastAsia="zh-CN"/>
        </w:rPr>
        <w:t>0</w:t>
      </w:r>
      <w:r>
        <w:rPr>
          <w:rFonts w:eastAsia="仿宋_GB2312"/>
          <w:sz w:val="32"/>
          <w:szCs w:val="32"/>
          <w:highlight w:val="none"/>
          <w:u w:val="none"/>
        </w:rPr>
        <w:t>万元，占</w:t>
      </w:r>
      <w:r>
        <w:rPr>
          <w:rFonts w:hint="eastAsia" w:eastAsia="仿宋_GB2312"/>
          <w:sz w:val="32"/>
          <w:szCs w:val="32"/>
          <w:highlight w:val="none"/>
          <w:u w:val="none"/>
          <w:lang w:val="en-US" w:eastAsia="zh-CN"/>
        </w:rPr>
        <w:t>0</w:t>
      </w:r>
      <w:r>
        <w:rPr>
          <w:rFonts w:eastAsia="仿宋_GB2312"/>
          <w:sz w:val="32"/>
          <w:szCs w:val="32"/>
          <w:highlight w:val="none"/>
          <w:u w:val="none"/>
        </w:rPr>
        <w:t xml:space="preserve">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；公务用车购置及运行维护费支出</w:t>
      </w:r>
      <w:r>
        <w:rPr>
          <w:rFonts w:hint="eastAsia" w:eastAsia="仿宋_GB2312"/>
          <w:sz w:val="32"/>
          <w:szCs w:val="32"/>
          <w:highlight w:val="none"/>
          <w:u w:val="none"/>
          <w:lang w:val="en-US" w:eastAsia="zh-CN"/>
        </w:rPr>
        <w:t>0</w:t>
      </w:r>
      <w:r>
        <w:rPr>
          <w:rFonts w:eastAsia="仿宋_GB2312"/>
          <w:sz w:val="32"/>
          <w:szCs w:val="32"/>
          <w:highlight w:val="none"/>
          <w:u w:val="none"/>
        </w:rPr>
        <w:t>万元，占</w:t>
      </w:r>
      <w:r>
        <w:rPr>
          <w:rFonts w:hint="eastAsia" w:eastAsia="仿宋_GB2312"/>
          <w:sz w:val="32"/>
          <w:szCs w:val="32"/>
          <w:highlight w:val="none"/>
          <w:u w:val="none"/>
          <w:lang w:val="en-US" w:eastAsia="zh-CN"/>
        </w:rPr>
        <w:t>0</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；公务接待费支出</w:t>
      </w:r>
      <w:r>
        <w:rPr>
          <w:rFonts w:hint="eastAsia" w:eastAsia="仿宋_GB2312"/>
          <w:sz w:val="32"/>
          <w:szCs w:val="32"/>
          <w:highlight w:val="none"/>
          <w:u w:val="none"/>
          <w:lang w:val="en-US" w:eastAsia="zh-CN"/>
        </w:rPr>
        <w:t>0</w:t>
      </w:r>
      <w:r>
        <w:rPr>
          <w:rFonts w:eastAsia="仿宋_GB2312"/>
          <w:sz w:val="32"/>
          <w:szCs w:val="32"/>
          <w:highlight w:val="none"/>
          <w:u w:val="none"/>
        </w:rPr>
        <w:t>万元，占</w:t>
      </w:r>
      <w:r>
        <w:rPr>
          <w:rFonts w:hint="eastAsia" w:eastAsia="仿宋_GB2312"/>
          <w:sz w:val="32"/>
          <w:szCs w:val="32"/>
          <w:highlight w:val="none"/>
          <w:u w:val="none"/>
          <w:lang w:val="en-US" w:eastAsia="zh-CN"/>
        </w:rPr>
        <w:t>0</w:t>
      </w:r>
      <w:r>
        <w:rPr>
          <w:rFonts w:eastAsia="仿宋_GB2312"/>
          <w:sz w:val="32"/>
          <w:szCs w:val="32"/>
          <w:highlight w:val="none"/>
          <w:u w:val="none"/>
        </w:rPr>
        <w:t xml:space="preserve">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。具体情况如下：</w:t>
      </w:r>
    </w:p>
    <w:p w14:paraId="2A359F13">
      <w:pPr>
        <w:spacing w:line="600" w:lineRule="exact"/>
        <w:ind w:left="29" w:right="96" w:firstLine="650"/>
        <w:rPr>
          <w:rFonts w:eastAsia="仿宋_GB2312"/>
          <w:sz w:val="32"/>
          <w:szCs w:val="32"/>
          <w:highlight w:val="none"/>
          <w:u w:val="none"/>
        </w:rPr>
      </w:pPr>
      <w:r>
        <w:rPr>
          <w:rFonts w:eastAsia="仿宋_GB2312"/>
          <w:sz w:val="32"/>
          <w:szCs w:val="32"/>
          <w:highlight w:val="none"/>
          <w:u w:val="none"/>
        </w:rPr>
        <w:t>一般公共预算拨款安排的“三公”经费预算支出</w:t>
      </w:r>
      <w:r>
        <w:rPr>
          <w:rFonts w:eastAsia="仿宋_GB2312"/>
          <w:sz w:val="32"/>
          <w:szCs w:val="32"/>
          <w:highlight w:val="none"/>
          <w:u w:val="none"/>
        </w:rPr>
        <w:tab/>
      </w:r>
      <w:r>
        <w:rPr>
          <w:rFonts w:hint="eastAsia" w:eastAsia="仿宋_GB2312"/>
          <w:sz w:val="32"/>
          <w:szCs w:val="32"/>
          <w:highlight w:val="none"/>
          <w:u w:val="none"/>
          <w:lang w:val="en-US" w:eastAsia="zh-CN"/>
        </w:rPr>
        <w:t>0</w:t>
      </w:r>
      <w:r>
        <w:rPr>
          <w:rFonts w:eastAsia="仿宋_GB2312"/>
          <w:spacing w:val="-4"/>
          <w:sz w:val="32"/>
          <w:szCs w:val="32"/>
          <w:highlight w:val="none"/>
          <w:u w:val="none"/>
        </w:rPr>
        <w:t>万元，比上年预</w:t>
      </w:r>
      <w:r>
        <w:rPr>
          <w:rFonts w:eastAsia="仿宋_GB2312"/>
          <w:spacing w:val="-6"/>
          <w:sz w:val="32"/>
          <w:szCs w:val="32"/>
          <w:highlight w:val="none"/>
          <w:u w:val="none"/>
        </w:rPr>
        <w:t>算增加（</w:t>
      </w:r>
      <w:r>
        <w:rPr>
          <w:rFonts w:hint="eastAsia" w:eastAsia="仿宋_GB2312"/>
          <w:spacing w:val="-6"/>
          <w:sz w:val="32"/>
          <w:szCs w:val="32"/>
          <w:highlight w:val="none"/>
          <w:u w:val="none"/>
          <w:lang w:val="en-US" w:eastAsia="zh-CN"/>
        </w:rPr>
        <w:t>0</w:t>
      </w:r>
      <w:r>
        <w:rPr>
          <w:rFonts w:eastAsia="仿宋_GB2312"/>
          <w:spacing w:val="-6"/>
          <w:sz w:val="32"/>
          <w:szCs w:val="32"/>
          <w:highlight w:val="none"/>
          <w:u w:val="none"/>
        </w:rPr>
        <w:t>万元，</w:t>
      </w:r>
      <w:r>
        <w:rPr>
          <w:rFonts w:eastAsia="仿宋_GB2312"/>
          <w:sz w:val="32"/>
          <w:szCs w:val="32"/>
          <w:highlight w:val="none"/>
          <w:u w:val="none"/>
        </w:rPr>
        <w:t>增长</w:t>
      </w:r>
      <w:r>
        <w:rPr>
          <w:rFonts w:hint="eastAsia" w:eastAsia="仿宋_GB2312"/>
          <w:sz w:val="32"/>
          <w:szCs w:val="32"/>
          <w:highlight w:val="none"/>
          <w:u w:val="none"/>
          <w:lang w:val="en-US" w:eastAsia="zh-CN"/>
        </w:rPr>
        <w:t>0</w:t>
      </w:r>
      <w:r>
        <w:rPr>
          <w:rFonts w:eastAsia="仿宋_GB2312"/>
          <w:sz w:val="32"/>
          <w:szCs w:val="32"/>
          <w:highlight w:val="none"/>
          <w:u w:val="none"/>
        </w:rPr>
        <w:tab/>
      </w:r>
      <w:r>
        <w:rPr>
          <w:rFonts w:hint="eastAsia" w:ascii="仿宋_GB2312" w:hAnsi="仿宋_GB2312" w:eastAsia="仿宋_GB2312"/>
          <w:sz w:val="32"/>
          <w:szCs w:val="32"/>
          <w:highlight w:val="none"/>
          <w:u w:val="none"/>
          <w:lang w:eastAsia="zh-CN"/>
        </w:rPr>
        <w:t>%</w:t>
      </w:r>
      <w:r>
        <w:rPr>
          <w:rFonts w:eastAsia="仿宋_GB2312"/>
          <w:spacing w:val="-6"/>
          <w:sz w:val="32"/>
          <w:szCs w:val="32"/>
          <w:highlight w:val="none"/>
          <w:u w:val="none"/>
        </w:rPr>
        <w:t>；</w:t>
      </w:r>
      <w:r>
        <w:rPr>
          <w:rFonts w:eastAsia="仿宋_GB2312"/>
          <w:spacing w:val="-4"/>
          <w:sz w:val="32"/>
          <w:szCs w:val="32"/>
          <w:highlight w:val="none"/>
          <w:u w:val="none"/>
        </w:rPr>
        <w:t>其中：</w:t>
      </w:r>
    </w:p>
    <w:p w14:paraId="084108B8">
      <w:pPr>
        <w:pStyle w:val="8"/>
        <w:spacing w:after="0" w:line="600" w:lineRule="exact"/>
        <w:ind w:left="17" w:leftChars="8" w:firstLine="640" w:firstLineChars="200"/>
        <w:rPr>
          <w:rFonts w:eastAsia="仿宋_GB2312"/>
          <w:sz w:val="32"/>
          <w:szCs w:val="32"/>
          <w:highlight w:val="none"/>
          <w:u w:val="none"/>
        </w:rPr>
      </w:pPr>
      <w:r>
        <w:rPr>
          <w:rFonts w:eastAsia="仿宋_GB2312"/>
          <w:sz w:val="32"/>
          <w:szCs w:val="32"/>
          <w:highlight w:val="none"/>
          <w:u w:val="none"/>
        </w:rPr>
        <w:t>1．因公出国（境）费预算支出</w:t>
      </w:r>
      <w:r>
        <w:rPr>
          <w:rFonts w:hint="eastAsia" w:eastAsia="仿宋_GB2312"/>
          <w:sz w:val="32"/>
          <w:szCs w:val="32"/>
          <w:highlight w:val="none"/>
          <w:u w:val="none"/>
          <w:lang w:val="en-US" w:eastAsia="zh-CN"/>
        </w:rPr>
        <w:t>0</w:t>
      </w:r>
      <w:r>
        <w:rPr>
          <w:rFonts w:eastAsia="仿宋_GB2312"/>
          <w:sz w:val="32"/>
          <w:szCs w:val="32"/>
          <w:highlight w:val="none"/>
          <w:u w:val="none"/>
        </w:rPr>
        <w:t>万元，比上年预算增加</w:t>
      </w:r>
      <w:r>
        <w:rPr>
          <w:rFonts w:hint="eastAsia" w:eastAsia="仿宋_GB2312"/>
          <w:sz w:val="32"/>
          <w:szCs w:val="32"/>
          <w:highlight w:val="none"/>
          <w:u w:val="none"/>
          <w:lang w:val="en-US" w:eastAsia="zh-CN"/>
        </w:rPr>
        <w:t>0</w:t>
      </w:r>
      <w:r>
        <w:rPr>
          <w:rFonts w:eastAsia="仿宋_GB2312"/>
          <w:sz w:val="32"/>
          <w:szCs w:val="32"/>
          <w:highlight w:val="none"/>
          <w:u w:val="none"/>
        </w:rPr>
        <w:t>万元，主要原因</w:t>
      </w:r>
      <w:r>
        <w:rPr>
          <w:rFonts w:hint="eastAsia" w:eastAsia="仿宋_GB2312"/>
          <w:sz w:val="32"/>
          <w:szCs w:val="32"/>
          <w:highlight w:val="none"/>
          <w:u w:val="none"/>
          <w:lang w:eastAsia="zh-CN"/>
        </w:rPr>
        <w:t>：</w:t>
      </w:r>
      <w:r>
        <w:rPr>
          <w:rFonts w:hint="eastAsia" w:ascii="仿宋_GB2312" w:hAnsi="仿宋_GB2312" w:eastAsia="仿宋_GB2312"/>
          <w:sz w:val="32"/>
          <w:szCs w:val="32"/>
          <w:highlight w:val="none"/>
          <w:u w:val="none"/>
          <w:lang w:val="en-US" w:eastAsia="zh-CN"/>
        </w:rPr>
        <w:t>单位无此项内容</w:t>
      </w:r>
      <w:r>
        <w:rPr>
          <w:rFonts w:eastAsia="仿宋_GB2312"/>
          <w:sz w:val="32"/>
          <w:szCs w:val="32"/>
          <w:highlight w:val="none"/>
          <w:u w:val="none"/>
        </w:rPr>
        <w:t>。</w:t>
      </w:r>
    </w:p>
    <w:p w14:paraId="1AEBEBC1">
      <w:pPr>
        <w:pStyle w:val="8"/>
        <w:tabs>
          <w:tab w:val="left" w:pos="2671"/>
          <w:tab w:val="left" w:pos="5000"/>
          <w:tab w:val="left" w:pos="6190"/>
        </w:tabs>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2．公务用车购置及运行维护费预算支出</w:t>
      </w:r>
      <w:r>
        <w:rPr>
          <w:rFonts w:hint="eastAsia" w:eastAsia="仿宋_GB2312"/>
          <w:sz w:val="32"/>
          <w:szCs w:val="32"/>
          <w:highlight w:val="none"/>
          <w:u w:val="none"/>
          <w:lang w:val="en-US" w:eastAsia="zh-CN"/>
        </w:rPr>
        <w:t>0</w:t>
      </w:r>
      <w:r>
        <w:rPr>
          <w:rFonts w:eastAsia="仿宋_GB2312"/>
          <w:sz w:val="32"/>
          <w:szCs w:val="32"/>
          <w:highlight w:val="none"/>
          <w:u w:val="none"/>
        </w:rPr>
        <w:tab/>
      </w:r>
      <w:r>
        <w:rPr>
          <w:rFonts w:eastAsia="仿宋_GB2312"/>
          <w:sz w:val="32"/>
          <w:szCs w:val="32"/>
          <w:highlight w:val="none"/>
          <w:u w:val="none"/>
        </w:rPr>
        <w:t>万元。其中：</w:t>
      </w:r>
    </w:p>
    <w:p w14:paraId="4AA01014">
      <w:pPr>
        <w:pStyle w:val="8"/>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（1）公务用车购置预算支出</w:t>
      </w:r>
      <w:r>
        <w:rPr>
          <w:rFonts w:hint="eastAsia" w:eastAsia="仿宋_GB2312"/>
          <w:sz w:val="32"/>
          <w:szCs w:val="32"/>
          <w:highlight w:val="none"/>
          <w:u w:val="none"/>
          <w:lang w:val="en-US" w:eastAsia="zh-CN"/>
        </w:rPr>
        <w:t>0</w:t>
      </w:r>
      <w:r>
        <w:rPr>
          <w:rFonts w:eastAsia="仿宋_GB2312"/>
          <w:sz w:val="32"/>
          <w:szCs w:val="32"/>
          <w:highlight w:val="none"/>
          <w:u w:val="none"/>
        </w:rPr>
        <w:t>万元，比上年预算增加</w:t>
      </w:r>
      <w:r>
        <w:rPr>
          <w:rFonts w:hint="eastAsia" w:eastAsia="仿宋_GB2312"/>
          <w:sz w:val="32"/>
          <w:szCs w:val="32"/>
          <w:highlight w:val="none"/>
          <w:u w:val="none"/>
          <w:lang w:val="en-US" w:eastAsia="zh-CN"/>
        </w:rPr>
        <w:t>0</w:t>
      </w:r>
      <w:r>
        <w:rPr>
          <w:rFonts w:eastAsia="仿宋_GB2312"/>
          <w:sz w:val="32"/>
          <w:szCs w:val="32"/>
          <w:highlight w:val="none"/>
          <w:u w:val="none"/>
        </w:rPr>
        <w:t>万元，主要原因</w:t>
      </w:r>
      <w:r>
        <w:rPr>
          <w:rFonts w:hint="eastAsia" w:eastAsia="仿宋_GB2312"/>
          <w:sz w:val="32"/>
          <w:szCs w:val="32"/>
          <w:highlight w:val="none"/>
          <w:u w:val="none"/>
          <w:lang w:eastAsia="zh-CN"/>
        </w:rPr>
        <w:t>：</w:t>
      </w:r>
      <w:r>
        <w:rPr>
          <w:rFonts w:hint="eastAsia" w:ascii="仿宋_GB2312" w:hAnsi="仿宋_GB2312" w:eastAsia="仿宋_GB2312"/>
          <w:sz w:val="32"/>
          <w:szCs w:val="32"/>
          <w:highlight w:val="none"/>
          <w:u w:val="none"/>
          <w:lang w:val="en-US" w:eastAsia="zh-CN"/>
        </w:rPr>
        <w:t>单位无此项内容</w:t>
      </w:r>
      <w:r>
        <w:rPr>
          <w:rFonts w:eastAsia="仿宋_GB2312"/>
          <w:sz w:val="32"/>
          <w:szCs w:val="32"/>
          <w:highlight w:val="none"/>
          <w:u w:val="none"/>
        </w:rPr>
        <w:t>。</w:t>
      </w:r>
    </w:p>
    <w:p w14:paraId="7229A842">
      <w:pPr>
        <w:pStyle w:val="8"/>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（2）公务用车运行维护费预算支出</w:t>
      </w:r>
      <w:r>
        <w:rPr>
          <w:rFonts w:hint="eastAsia" w:eastAsia="仿宋_GB2312"/>
          <w:sz w:val="32"/>
          <w:szCs w:val="32"/>
          <w:highlight w:val="none"/>
          <w:u w:val="none"/>
          <w:lang w:val="en-US" w:eastAsia="zh-CN"/>
        </w:rPr>
        <w:t>0</w:t>
      </w:r>
      <w:r>
        <w:rPr>
          <w:rFonts w:eastAsia="仿宋_GB2312"/>
          <w:sz w:val="32"/>
          <w:szCs w:val="32"/>
          <w:highlight w:val="none"/>
          <w:u w:val="none"/>
        </w:rPr>
        <w:t>万元，比上年预算增加</w:t>
      </w:r>
      <w:r>
        <w:rPr>
          <w:rFonts w:hint="eastAsia" w:eastAsia="仿宋_GB2312"/>
          <w:sz w:val="32"/>
          <w:szCs w:val="32"/>
          <w:highlight w:val="none"/>
          <w:u w:val="none"/>
          <w:lang w:val="en-US" w:eastAsia="zh-CN"/>
        </w:rPr>
        <w:t>0</w:t>
      </w:r>
      <w:r>
        <w:rPr>
          <w:rFonts w:eastAsia="仿宋_GB2312"/>
          <w:sz w:val="32"/>
          <w:szCs w:val="32"/>
          <w:highlight w:val="none"/>
          <w:u w:val="none"/>
        </w:rPr>
        <w:t>万元，主要原因</w:t>
      </w:r>
      <w:r>
        <w:rPr>
          <w:rFonts w:hint="eastAsia" w:eastAsia="仿宋_GB2312"/>
          <w:sz w:val="32"/>
          <w:szCs w:val="32"/>
          <w:highlight w:val="none"/>
          <w:u w:val="none"/>
          <w:lang w:eastAsia="zh-CN"/>
        </w:rPr>
        <w:t>：</w:t>
      </w:r>
      <w:r>
        <w:rPr>
          <w:rFonts w:hint="eastAsia" w:ascii="仿宋_GB2312" w:hAnsi="仿宋_GB2312" w:eastAsia="仿宋_GB2312"/>
          <w:sz w:val="32"/>
          <w:szCs w:val="32"/>
          <w:highlight w:val="none"/>
          <w:u w:val="none"/>
          <w:lang w:val="en-US" w:eastAsia="zh-CN"/>
        </w:rPr>
        <w:t>单位无此项内容</w:t>
      </w:r>
      <w:r>
        <w:rPr>
          <w:rFonts w:eastAsia="仿宋_GB2312"/>
          <w:sz w:val="32"/>
          <w:szCs w:val="32"/>
          <w:highlight w:val="none"/>
          <w:u w:val="none"/>
        </w:rPr>
        <w:t>。</w:t>
      </w:r>
    </w:p>
    <w:p w14:paraId="4F15F03B">
      <w:pPr>
        <w:pStyle w:val="8"/>
        <w:spacing w:after="0" w:line="600" w:lineRule="exact"/>
        <w:ind w:firstLine="640" w:firstLineChars="200"/>
        <w:rPr>
          <w:rFonts w:eastAsia="仿宋_GB2312"/>
          <w:sz w:val="32"/>
          <w:szCs w:val="32"/>
          <w:highlight w:val="none"/>
          <w:u w:val="none"/>
        </w:rPr>
      </w:pPr>
      <w:r>
        <w:rPr>
          <w:rFonts w:eastAsia="仿宋_GB2312"/>
          <w:sz w:val="32"/>
          <w:szCs w:val="32"/>
          <w:highlight w:val="none"/>
          <w:u w:val="none"/>
        </w:rPr>
        <w:t>3．公务接待费预算支出</w:t>
      </w:r>
      <w:r>
        <w:rPr>
          <w:rFonts w:hint="eastAsia" w:eastAsia="仿宋_GB2312"/>
          <w:sz w:val="32"/>
          <w:szCs w:val="32"/>
          <w:highlight w:val="none"/>
          <w:u w:val="none"/>
          <w:lang w:val="en-US" w:eastAsia="zh-CN"/>
        </w:rPr>
        <w:t>0</w:t>
      </w:r>
      <w:r>
        <w:rPr>
          <w:rFonts w:eastAsia="仿宋_GB2312"/>
          <w:sz w:val="32"/>
          <w:szCs w:val="32"/>
          <w:highlight w:val="none"/>
          <w:u w:val="none"/>
        </w:rPr>
        <w:t>万元，比上年预算增加</w:t>
      </w:r>
      <w:r>
        <w:rPr>
          <w:rFonts w:hint="eastAsia" w:eastAsia="仿宋_GB2312"/>
          <w:sz w:val="32"/>
          <w:szCs w:val="32"/>
          <w:highlight w:val="none"/>
          <w:u w:val="none"/>
          <w:lang w:val="en-US" w:eastAsia="zh-CN"/>
        </w:rPr>
        <w:t>0</w:t>
      </w:r>
      <w:r>
        <w:rPr>
          <w:rFonts w:eastAsia="仿宋_GB2312"/>
          <w:sz w:val="32"/>
          <w:szCs w:val="32"/>
          <w:highlight w:val="none"/>
          <w:u w:val="none"/>
        </w:rPr>
        <w:t>万元，主要原因</w:t>
      </w:r>
      <w:r>
        <w:rPr>
          <w:rFonts w:hint="eastAsia" w:eastAsia="仿宋_GB2312"/>
          <w:sz w:val="32"/>
          <w:szCs w:val="32"/>
          <w:highlight w:val="none"/>
          <w:u w:val="none"/>
          <w:lang w:eastAsia="zh-CN"/>
        </w:rPr>
        <w:t>：</w:t>
      </w:r>
      <w:r>
        <w:rPr>
          <w:rFonts w:hint="eastAsia" w:ascii="仿宋_GB2312" w:hAnsi="仿宋_GB2312" w:eastAsia="仿宋_GB2312"/>
          <w:sz w:val="32"/>
          <w:szCs w:val="32"/>
          <w:highlight w:val="none"/>
          <w:u w:val="none"/>
          <w:lang w:val="en-US" w:eastAsia="zh-CN"/>
        </w:rPr>
        <w:t>单位无此项内容</w:t>
      </w:r>
      <w:r>
        <w:rPr>
          <w:rFonts w:eastAsia="仿宋_GB2312"/>
          <w:sz w:val="32"/>
          <w:szCs w:val="32"/>
          <w:highlight w:val="none"/>
          <w:u w:val="none"/>
        </w:rPr>
        <w:t>。</w:t>
      </w:r>
    </w:p>
    <w:p w14:paraId="4C9C9E9B">
      <w:pPr>
        <w:spacing w:line="600" w:lineRule="exact"/>
        <w:ind w:left="0" w:leftChars="0" w:firstLine="640" w:firstLineChars="200"/>
        <w:outlineLvl w:val="2"/>
        <w:rPr>
          <w:rFonts w:eastAsia="黑体" w:cs="黑体"/>
          <w:sz w:val="32"/>
          <w:szCs w:val="36"/>
          <w:highlight w:val="none"/>
          <w:u w:val="none"/>
        </w:rPr>
      </w:pPr>
      <w:r>
        <w:rPr>
          <w:rFonts w:hint="eastAsia" w:eastAsia="黑体" w:cs="黑体"/>
          <w:sz w:val="32"/>
          <w:szCs w:val="36"/>
          <w:highlight w:val="none"/>
          <w:u w:val="none"/>
        </w:rPr>
        <w:t>八、政府性基金预算支出预算情况说明</w:t>
      </w:r>
    </w:p>
    <w:p w14:paraId="42E7FA14">
      <w:pPr>
        <w:pStyle w:val="8"/>
        <w:spacing w:after="0" w:line="600" w:lineRule="exact"/>
        <w:ind w:left="17" w:leftChars="8" w:firstLine="640" w:firstLineChars="200"/>
        <w:rPr>
          <w:rFonts w:eastAsia="仿宋_GB2312"/>
          <w:sz w:val="32"/>
          <w:szCs w:val="32"/>
          <w:highlight w:val="none"/>
          <w:u w:val="none"/>
        </w:rPr>
      </w:pPr>
      <w:r>
        <w:rPr>
          <w:rFonts w:hint="eastAsia" w:ascii="仿宋_GB2312" w:hAnsi="仿宋_GB2312" w:eastAsia="仿宋_GB2312" w:cs="仿宋"/>
          <w:sz w:val="32"/>
          <w:szCs w:val="32"/>
          <w:highlight w:val="none"/>
          <w:u w:val="none"/>
          <w:lang w:val="en-US" w:eastAsia="zh-CN"/>
        </w:rPr>
        <w:t>内蒙古自治区第四医院（内蒙古自治区胸科医院、内蒙古自治区公共卫生突发事件医疗救治中心）2026</w:t>
      </w:r>
      <w:r>
        <w:rPr>
          <w:rFonts w:eastAsia="仿宋_GB2312"/>
          <w:sz w:val="32"/>
          <w:szCs w:val="32"/>
          <w:highlight w:val="none"/>
          <w:u w:val="none"/>
        </w:rPr>
        <w:t>年度政府性基金支出预算支出</w:t>
      </w:r>
      <w:r>
        <w:rPr>
          <w:rFonts w:hint="eastAsia" w:eastAsia="仿宋_GB2312"/>
          <w:sz w:val="32"/>
          <w:szCs w:val="32"/>
          <w:highlight w:val="none"/>
          <w:u w:val="none"/>
          <w:lang w:val="en-US" w:eastAsia="zh-CN"/>
        </w:rPr>
        <w:t>0</w:t>
      </w:r>
      <w:r>
        <w:rPr>
          <w:rFonts w:eastAsia="仿宋_GB2312"/>
          <w:sz w:val="32"/>
          <w:szCs w:val="32"/>
          <w:highlight w:val="none"/>
          <w:u w:val="none"/>
        </w:rPr>
        <w:t>万元。与上年相比增加</w:t>
      </w:r>
      <w:r>
        <w:rPr>
          <w:rFonts w:hint="eastAsia" w:eastAsia="仿宋_GB2312"/>
          <w:sz w:val="32"/>
          <w:szCs w:val="32"/>
          <w:highlight w:val="none"/>
          <w:u w:val="none"/>
          <w:lang w:val="en-US" w:eastAsia="zh-CN"/>
        </w:rPr>
        <w:t>0</w:t>
      </w:r>
      <w:r>
        <w:rPr>
          <w:rFonts w:eastAsia="仿宋_GB2312"/>
          <w:sz w:val="32"/>
          <w:szCs w:val="32"/>
          <w:highlight w:val="none"/>
          <w:u w:val="none"/>
        </w:rPr>
        <w:t>万元，增长</w:t>
      </w:r>
      <w:r>
        <w:rPr>
          <w:rFonts w:hint="eastAsia" w:eastAsia="仿宋_GB2312"/>
          <w:sz w:val="32"/>
          <w:szCs w:val="32"/>
          <w:highlight w:val="none"/>
          <w:u w:val="none"/>
          <w:lang w:val="en-US" w:eastAsia="zh-CN"/>
        </w:rPr>
        <w:t>0</w:t>
      </w:r>
      <w:r>
        <w:rPr>
          <w:rFonts w:eastAsia="仿宋_GB2312"/>
          <w:sz w:val="32"/>
          <w:szCs w:val="32"/>
          <w:highlight w:val="none"/>
          <w:u w:val="none"/>
        </w:rPr>
        <w:tab/>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。主要原因</w:t>
      </w:r>
      <w:r>
        <w:rPr>
          <w:rFonts w:hint="eastAsia" w:eastAsia="仿宋_GB2312"/>
          <w:sz w:val="32"/>
          <w:szCs w:val="32"/>
          <w:highlight w:val="none"/>
          <w:u w:val="none"/>
          <w:lang w:eastAsia="zh-CN"/>
        </w:rPr>
        <w:t>：</w:t>
      </w:r>
      <w:r>
        <w:rPr>
          <w:rFonts w:hint="eastAsia" w:ascii="Times New Roman" w:hAnsi="Times New Roman" w:eastAsia="仿宋_GB2312" w:cs="仿宋"/>
          <w:sz w:val="32"/>
          <w:szCs w:val="32"/>
          <w:highlight w:val="none"/>
          <w:u w:val="none"/>
        </w:rPr>
        <w:t>本单位无政府性基金预算支出</w:t>
      </w:r>
      <w:r>
        <w:rPr>
          <w:rFonts w:eastAsia="仿宋_GB2312"/>
          <w:sz w:val="32"/>
          <w:szCs w:val="32"/>
          <w:highlight w:val="none"/>
          <w:u w:val="none"/>
        </w:rPr>
        <w:t>。</w:t>
      </w:r>
    </w:p>
    <w:p w14:paraId="33E2E34D">
      <w:pPr>
        <w:spacing w:line="600" w:lineRule="exact"/>
        <w:ind w:left="0" w:leftChars="0" w:firstLine="640" w:firstLineChars="200"/>
        <w:outlineLvl w:val="2"/>
        <w:rPr>
          <w:rFonts w:eastAsia="黑体" w:cs="黑体"/>
          <w:sz w:val="32"/>
          <w:szCs w:val="36"/>
          <w:highlight w:val="none"/>
          <w:u w:val="none"/>
        </w:rPr>
      </w:pPr>
      <w:r>
        <w:rPr>
          <w:rFonts w:hint="eastAsia" w:eastAsia="黑体" w:cs="黑体"/>
          <w:sz w:val="32"/>
          <w:szCs w:val="36"/>
          <w:highlight w:val="none"/>
          <w:u w:val="none"/>
        </w:rPr>
        <w:t>九、国有资本经营预算支出预算情况说明</w:t>
      </w:r>
    </w:p>
    <w:p w14:paraId="6F1135D6">
      <w:pPr>
        <w:pStyle w:val="8"/>
        <w:spacing w:after="0" w:line="600" w:lineRule="exact"/>
        <w:ind w:left="17" w:leftChars="8" w:firstLine="640" w:firstLineChars="200"/>
        <w:rPr>
          <w:rFonts w:eastAsia="仿宋_GB2312"/>
          <w:sz w:val="32"/>
          <w:szCs w:val="32"/>
          <w:highlight w:val="none"/>
          <w:u w:val="none"/>
        </w:rPr>
      </w:pPr>
      <w:r>
        <w:rPr>
          <w:rFonts w:hint="eastAsia" w:eastAsia="仿宋_GB2312"/>
          <w:sz w:val="32"/>
          <w:szCs w:val="32"/>
          <w:highlight w:val="none"/>
          <w:u w:val="none"/>
          <w:lang w:val="en-US" w:eastAsia="zh-CN"/>
        </w:rPr>
        <w:t>内蒙古自治区第四医院（内蒙古自治区胸科医院、内蒙古自治区公共卫生突发事件医疗救治中心）2026</w:t>
      </w:r>
      <w:r>
        <w:rPr>
          <w:rFonts w:eastAsia="仿宋_GB2312"/>
          <w:sz w:val="32"/>
          <w:szCs w:val="32"/>
          <w:highlight w:val="none"/>
          <w:u w:val="none"/>
        </w:rPr>
        <w:t>年度</w:t>
      </w:r>
      <w:r>
        <w:rPr>
          <w:rFonts w:hint="eastAsia" w:eastAsia="仿宋_GB2312" w:cstheme="minorBidi"/>
          <w:sz w:val="32"/>
          <w:szCs w:val="32"/>
          <w:highlight w:val="none"/>
          <w:u w:val="none"/>
        </w:rPr>
        <w:t>国有资本经营预算支出</w:t>
      </w:r>
      <w:r>
        <w:rPr>
          <w:rFonts w:hint="eastAsia" w:eastAsia="仿宋_GB2312" w:cstheme="minorBidi"/>
          <w:sz w:val="32"/>
          <w:szCs w:val="32"/>
          <w:highlight w:val="none"/>
          <w:u w:val="none"/>
          <w:lang w:val="en-US" w:eastAsia="zh-CN"/>
        </w:rPr>
        <w:t>0</w:t>
      </w:r>
      <w:r>
        <w:rPr>
          <w:rFonts w:hint="eastAsia" w:eastAsia="仿宋_GB2312" w:cstheme="minorBidi"/>
          <w:sz w:val="32"/>
          <w:szCs w:val="32"/>
          <w:highlight w:val="none"/>
          <w:u w:val="none"/>
        </w:rPr>
        <w:t>万元。</w:t>
      </w:r>
      <w:r>
        <w:rPr>
          <w:rFonts w:eastAsia="仿宋_GB2312"/>
          <w:sz w:val="32"/>
          <w:szCs w:val="32"/>
          <w:highlight w:val="none"/>
          <w:u w:val="none"/>
        </w:rPr>
        <w:t>与上年相比增加</w:t>
      </w:r>
      <w:r>
        <w:rPr>
          <w:rFonts w:hint="eastAsia" w:eastAsia="仿宋_GB2312"/>
          <w:sz w:val="32"/>
          <w:szCs w:val="32"/>
          <w:highlight w:val="none"/>
          <w:u w:val="none"/>
          <w:lang w:val="en-US" w:eastAsia="zh-CN"/>
        </w:rPr>
        <w:t>0</w:t>
      </w:r>
      <w:r>
        <w:rPr>
          <w:rFonts w:eastAsia="仿宋_GB2312"/>
          <w:sz w:val="32"/>
          <w:szCs w:val="32"/>
          <w:highlight w:val="none"/>
          <w:u w:val="none"/>
        </w:rPr>
        <w:t>万元，增长</w:t>
      </w:r>
      <w:r>
        <w:rPr>
          <w:rFonts w:hint="eastAsia" w:eastAsia="仿宋_GB2312"/>
          <w:sz w:val="32"/>
          <w:szCs w:val="32"/>
          <w:highlight w:val="none"/>
          <w:u w:val="none"/>
          <w:lang w:val="en-US" w:eastAsia="zh-CN"/>
        </w:rPr>
        <w:t>0</w:t>
      </w:r>
      <w:r>
        <w:rPr>
          <w:rFonts w:eastAsia="仿宋_GB2312"/>
          <w:sz w:val="32"/>
          <w:szCs w:val="32"/>
          <w:highlight w:val="none"/>
          <w:u w:val="none"/>
        </w:rPr>
        <w:tab/>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。主要原因</w:t>
      </w:r>
      <w:r>
        <w:rPr>
          <w:rFonts w:hint="eastAsia" w:eastAsia="仿宋_GB2312"/>
          <w:sz w:val="32"/>
          <w:szCs w:val="32"/>
          <w:highlight w:val="none"/>
          <w:u w:val="none"/>
          <w:lang w:eastAsia="zh-CN"/>
        </w:rPr>
        <w:t>：</w:t>
      </w:r>
      <w:r>
        <w:rPr>
          <w:rFonts w:hint="eastAsia" w:ascii="Times New Roman" w:hAnsi="Times New Roman" w:eastAsia="仿宋_GB2312" w:cs="仿宋"/>
          <w:sz w:val="32"/>
          <w:szCs w:val="32"/>
          <w:highlight w:val="none"/>
          <w:u w:val="none"/>
        </w:rPr>
        <w:t>本单位</w:t>
      </w:r>
      <w:r>
        <w:rPr>
          <w:rFonts w:hint="eastAsia" w:eastAsia="仿宋_GB2312" w:cs="仿宋"/>
          <w:sz w:val="32"/>
          <w:szCs w:val="32"/>
          <w:highlight w:val="none"/>
          <w:u w:val="none"/>
          <w:lang w:val="en-US" w:eastAsia="zh-CN"/>
        </w:rPr>
        <w:t>国有资本经营</w:t>
      </w:r>
      <w:r>
        <w:rPr>
          <w:rFonts w:hint="eastAsia" w:ascii="Times New Roman" w:hAnsi="Times New Roman" w:eastAsia="仿宋_GB2312" w:cs="仿宋"/>
          <w:sz w:val="32"/>
          <w:szCs w:val="32"/>
          <w:highlight w:val="none"/>
          <w:u w:val="none"/>
        </w:rPr>
        <w:t>预算支出</w:t>
      </w:r>
      <w:r>
        <w:rPr>
          <w:rFonts w:eastAsia="仿宋_GB2312"/>
          <w:sz w:val="32"/>
          <w:szCs w:val="32"/>
          <w:highlight w:val="none"/>
          <w:u w:val="none"/>
        </w:rPr>
        <w:t>。</w:t>
      </w:r>
    </w:p>
    <w:p w14:paraId="7AD1F834">
      <w:pPr>
        <w:spacing w:line="600" w:lineRule="exact"/>
        <w:ind w:left="0" w:leftChars="0" w:firstLine="640" w:firstLineChars="200"/>
        <w:outlineLvl w:val="2"/>
        <w:rPr>
          <w:rFonts w:eastAsia="黑体" w:cs="黑体"/>
          <w:sz w:val="32"/>
          <w:szCs w:val="36"/>
          <w:highlight w:val="none"/>
          <w:u w:val="none"/>
        </w:rPr>
      </w:pPr>
      <w:r>
        <w:rPr>
          <w:rFonts w:hint="eastAsia" w:eastAsia="黑体" w:cs="黑体"/>
          <w:sz w:val="32"/>
          <w:szCs w:val="36"/>
          <w:highlight w:val="none"/>
          <w:u w:val="none"/>
        </w:rPr>
        <w:t>十、项目支出预算情况说明</w:t>
      </w:r>
    </w:p>
    <w:p w14:paraId="4037C9BA">
      <w:pPr>
        <w:spacing w:line="600" w:lineRule="exact"/>
        <w:ind w:firstLine="640" w:firstLineChars="200"/>
        <w:rPr>
          <w:rFonts w:eastAsia="仿宋_GB2312"/>
          <w:sz w:val="32"/>
          <w:szCs w:val="32"/>
          <w:highlight w:val="none"/>
          <w:u w:val="none"/>
        </w:rPr>
      </w:pPr>
      <w:r>
        <w:rPr>
          <w:rFonts w:hint="eastAsia" w:ascii="仿宋_GB2312" w:hAnsi="仿宋_GB2312" w:eastAsia="仿宋_GB2312" w:cs="仿宋"/>
          <w:sz w:val="32"/>
          <w:szCs w:val="32"/>
          <w:highlight w:val="none"/>
          <w:u w:val="none"/>
          <w:lang w:val="en-US" w:eastAsia="zh-CN"/>
        </w:rPr>
        <w:t>内蒙古自治区第四医院（内蒙古自治区胸科医院、内蒙古自治区公共卫生突发事件医疗救治中心）2026</w:t>
      </w:r>
      <w:r>
        <w:rPr>
          <w:rFonts w:eastAsia="仿宋_GB2312"/>
          <w:sz w:val="32"/>
          <w:szCs w:val="32"/>
          <w:highlight w:val="none"/>
          <w:u w:val="none"/>
        </w:rPr>
        <w:t>年度预算安排项目</w:t>
      </w:r>
      <w:r>
        <w:rPr>
          <w:rFonts w:hint="eastAsia" w:eastAsia="仿宋_GB2312"/>
          <w:sz w:val="32"/>
          <w:szCs w:val="32"/>
          <w:highlight w:val="none"/>
          <w:u w:val="none"/>
          <w:lang w:val="en-US" w:eastAsia="zh-CN"/>
        </w:rPr>
        <w:t>10</w:t>
      </w:r>
      <w:r>
        <w:rPr>
          <w:rFonts w:eastAsia="仿宋_GB2312"/>
          <w:sz w:val="32"/>
          <w:szCs w:val="32"/>
          <w:highlight w:val="none"/>
          <w:u w:val="none"/>
        </w:rPr>
        <w:t>个，项目预算总金额</w:t>
      </w:r>
      <w:r>
        <w:rPr>
          <w:rFonts w:hint="eastAsia" w:eastAsia="仿宋_GB2312"/>
          <w:sz w:val="32"/>
          <w:szCs w:val="32"/>
          <w:highlight w:val="none"/>
          <w:u w:val="none"/>
          <w:lang w:val="en-US" w:eastAsia="zh-CN"/>
        </w:rPr>
        <w:t>8687.90</w:t>
      </w:r>
      <w:r>
        <w:rPr>
          <w:rFonts w:eastAsia="仿宋_GB2312"/>
          <w:sz w:val="32"/>
          <w:szCs w:val="32"/>
          <w:highlight w:val="none"/>
          <w:u w:val="none"/>
        </w:rPr>
        <w:t>万元。其中，财政本年拨款金额</w:t>
      </w:r>
      <w:r>
        <w:rPr>
          <w:rFonts w:hint="eastAsia" w:eastAsia="仿宋_GB2312"/>
          <w:sz w:val="32"/>
          <w:szCs w:val="32"/>
          <w:highlight w:val="none"/>
          <w:u w:val="none"/>
          <w:lang w:val="en-US" w:eastAsia="zh-CN"/>
        </w:rPr>
        <w:t>8644.00</w:t>
      </w:r>
      <w:r>
        <w:rPr>
          <w:rFonts w:eastAsia="仿宋_GB2312"/>
          <w:sz w:val="32"/>
          <w:szCs w:val="32"/>
          <w:highlight w:val="none"/>
          <w:u w:val="none"/>
        </w:rPr>
        <w:t>万元，财政拨款结转结余</w:t>
      </w:r>
      <w:r>
        <w:rPr>
          <w:rFonts w:hint="eastAsia" w:eastAsia="仿宋_GB2312"/>
          <w:sz w:val="32"/>
          <w:szCs w:val="32"/>
          <w:highlight w:val="none"/>
          <w:u w:val="none"/>
          <w:lang w:val="en-US" w:eastAsia="zh-CN"/>
        </w:rPr>
        <w:t>43.9</w:t>
      </w:r>
      <w:r>
        <w:rPr>
          <w:rFonts w:eastAsia="仿宋_GB2312"/>
          <w:sz w:val="32"/>
          <w:szCs w:val="32"/>
          <w:highlight w:val="none"/>
          <w:u w:val="none"/>
        </w:rPr>
        <w:t>万元，财政专户管理资金</w:t>
      </w:r>
      <w:r>
        <w:rPr>
          <w:rFonts w:hint="eastAsia" w:eastAsia="仿宋_GB2312"/>
          <w:sz w:val="32"/>
          <w:szCs w:val="32"/>
          <w:highlight w:val="none"/>
          <w:u w:val="none"/>
          <w:lang w:val="en-US" w:eastAsia="zh-CN"/>
        </w:rPr>
        <w:t>0</w:t>
      </w:r>
      <w:r>
        <w:rPr>
          <w:rFonts w:eastAsia="仿宋_GB2312"/>
          <w:sz w:val="32"/>
          <w:szCs w:val="32"/>
          <w:highlight w:val="none"/>
          <w:u w:val="none"/>
        </w:rPr>
        <w:t>万元，单位资金</w:t>
      </w:r>
      <w:r>
        <w:rPr>
          <w:rFonts w:hint="eastAsia" w:eastAsia="仿宋_GB2312"/>
          <w:sz w:val="32"/>
          <w:szCs w:val="32"/>
          <w:highlight w:val="none"/>
          <w:u w:val="none"/>
          <w:lang w:val="en-US" w:eastAsia="zh-CN"/>
        </w:rPr>
        <w:t>0</w:t>
      </w:r>
      <w:r>
        <w:rPr>
          <w:rFonts w:eastAsia="仿宋_GB2312"/>
          <w:sz w:val="32"/>
          <w:szCs w:val="32"/>
          <w:highlight w:val="none"/>
          <w:u w:val="none"/>
        </w:rPr>
        <w:t>万元。</w:t>
      </w:r>
    </w:p>
    <w:p w14:paraId="4D2FDC77">
      <w:pPr>
        <w:spacing w:line="600" w:lineRule="exact"/>
        <w:ind w:left="0" w:leftChars="0" w:firstLine="640" w:firstLineChars="200"/>
        <w:outlineLvl w:val="2"/>
        <w:rPr>
          <w:rFonts w:eastAsia="黑体" w:cs="黑体"/>
          <w:sz w:val="32"/>
          <w:szCs w:val="36"/>
          <w:highlight w:val="none"/>
          <w:u w:val="none"/>
        </w:rPr>
      </w:pPr>
      <w:r>
        <w:rPr>
          <w:rFonts w:hint="eastAsia" w:eastAsia="黑体" w:cs="黑体"/>
          <w:sz w:val="32"/>
          <w:szCs w:val="36"/>
          <w:highlight w:val="none"/>
          <w:u w:val="none"/>
        </w:rPr>
        <w:t>十一、</w:t>
      </w:r>
      <w:r>
        <w:rPr>
          <w:rFonts w:hint="eastAsia" w:eastAsia="黑体" w:cs="黑体"/>
          <w:sz w:val="32"/>
          <w:szCs w:val="36"/>
          <w:highlight w:val="none"/>
          <w:u w:val="none"/>
          <w:lang w:val="en-US" w:eastAsia="zh-CN"/>
        </w:rPr>
        <w:t>机构</w:t>
      </w:r>
      <w:r>
        <w:rPr>
          <w:rFonts w:hint="eastAsia" w:eastAsia="黑体" w:cs="黑体"/>
          <w:sz w:val="32"/>
          <w:szCs w:val="36"/>
          <w:highlight w:val="none"/>
          <w:u w:val="none"/>
        </w:rPr>
        <w:t>运行经费支出预算情况说明</w:t>
      </w:r>
    </w:p>
    <w:p w14:paraId="7AE24F89">
      <w:pPr>
        <w:spacing w:line="600" w:lineRule="exact"/>
        <w:ind w:firstLine="640" w:firstLineChars="200"/>
        <w:rPr>
          <w:rFonts w:eastAsia="仿宋_GB2312" w:cstheme="minorBidi"/>
          <w:sz w:val="32"/>
          <w:szCs w:val="32"/>
          <w:highlight w:val="none"/>
          <w:u w:val="none"/>
        </w:rPr>
      </w:pPr>
      <w:r>
        <w:rPr>
          <w:rFonts w:hint="eastAsia" w:ascii="仿宋_GB2312" w:hAnsi="仿宋_GB2312" w:eastAsia="仿宋_GB2312" w:cs="仿宋"/>
          <w:sz w:val="32"/>
          <w:szCs w:val="32"/>
          <w:highlight w:val="none"/>
          <w:u w:val="none"/>
          <w:lang w:val="en-US" w:eastAsia="zh-CN"/>
        </w:rPr>
        <w:t>内蒙古自治区第四医院（内蒙古自治区胸科医院、内蒙古自治区公共卫生突发事件医疗救治中心）2026</w:t>
      </w:r>
      <w:r>
        <w:rPr>
          <w:rFonts w:eastAsia="仿宋_GB2312"/>
          <w:sz w:val="32"/>
          <w:szCs w:val="32"/>
          <w:highlight w:val="none"/>
          <w:u w:val="none"/>
        </w:rPr>
        <w:t>年度</w:t>
      </w:r>
      <w:r>
        <w:rPr>
          <w:rFonts w:hint="eastAsia" w:eastAsia="仿宋_GB2312"/>
          <w:sz w:val="32"/>
          <w:szCs w:val="32"/>
          <w:highlight w:val="none"/>
          <w:u w:val="none"/>
          <w:lang w:val="en-US" w:eastAsia="zh-CN"/>
        </w:rPr>
        <w:t>机构</w:t>
      </w:r>
      <w:r>
        <w:rPr>
          <w:rFonts w:eastAsia="仿宋_GB2312"/>
          <w:sz w:val="32"/>
          <w:szCs w:val="32"/>
          <w:highlight w:val="none"/>
          <w:u w:val="none"/>
        </w:rPr>
        <w:t>运行经费预算支出</w:t>
      </w:r>
      <w:r>
        <w:rPr>
          <w:rFonts w:hint="eastAsia" w:eastAsia="仿宋_GB2312"/>
          <w:sz w:val="32"/>
          <w:szCs w:val="32"/>
          <w:highlight w:val="none"/>
          <w:u w:val="none"/>
          <w:lang w:val="en-US" w:eastAsia="zh-CN"/>
        </w:rPr>
        <w:t>0</w:t>
      </w:r>
      <w:r>
        <w:rPr>
          <w:rFonts w:eastAsia="仿宋_GB2312"/>
          <w:sz w:val="32"/>
          <w:szCs w:val="32"/>
          <w:highlight w:val="none"/>
          <w:u w:val="none"/>
        </w:rPr>
        <w:t>万元</w:t>
      </w:r>
      <w:r>
        <w:rPr>
          <w:rFonts w:hint="eastAsia" w:eastAsia="仿宋_GB2312" w:cstheme="minorBidi"/>
          <w:sz w:val="32"/>
          <w:szCs w:val="32"/>
          <w:highlight w:val="none"/>
          <w:u w:val="none"/>
        </w:rPr>
        <w:t>，</w:t>
      </w:r>
      <w:r>
        <w:rPr>
          <w:rFonts w:eastAsia="仿宋_GB2312"/>
          <w:color w:val="000000" w:themeColor="text1"/>
          <w:sz w:val="32"/>
          <w:szCs w:val="32"/>
          <w:highlight w:val="none"/>
          <w:u w:val="none"/>
          <w14:textFill>
            <w14:solidFill>
              <w14:schemeClr w14:val="tx1"/>
            </w14:solidFill>
          </w14:textFill>
        </w:rPr>
        <w:t>与</w:t>
      </w:r>
      <w:r>
        <w:rPr>
          <w:rFonts w:eastAsia="仿宋_GB2312"/>
          <w:sz w:val="32"/>
          <w:szCs w:val="32"/>
          <w:highlight w:val="none"/>
          <w:u w:val="none"/>
        </w:rPr>
        <w:t>上年相比增加</w:t>
      </w:r>
      <w:r>
        <w:rPr>
          <w:rFonts w:hint="eastAsia" w:eastAsia="仿宋_GB2312"/>
          <w:sz w:val="32"/>
          <w:szCs w:val="32"/>
          <w:highlight w:val="none"/>
          <w:u w:val="none"/>
          <w:lang w:val="en-US" w:eastAsia="zh-CN"/>
        </w:rPr>
        <w:t>0</w:t>
      </w:r>
      <w:r>
        <w:rPr>
          <w:rFonts w:eastAsia="仿宋_GB2312"/>
          <w:sz w:val="32"/>
          <w:szCs w:val="32"/>
          <w:highlight w:val="none"/>
          <w:u w:val="none"/>
        </w:rPr>
        <w:t>万元，增长</w:t>
      </w:r>
      <w:r>
        <w:rPr>
          <w:rFonts w:hint="eastAsia" w:eastAsia="仿宋_GB2312"/>
          <w:sz w:val="32"/>
          <w:szCs w:val="32"/>
          <w:highlight w:val="none"/>
          <w:u w:val="none"/>
          <w:lang w:val="en-US" w:eastAsia="zh-CN"/>
        </w:rPr>
        <w:t>0</w:t>
      </w:r>
      <w:r>
        <w:rPr>
          <w:rFonts w:eastAsia="仿宋_GB2312"/>
          <w:sz w:val="32"/>
          <w:szCs w:val="32"/>
          <w:highlight w:val="none"/>
          <w:u w:val="none"/>
        </w:rPr>
        <w:t xml:space="preserve"> </w:t>
      </w:r>
      <w:r>
        <w:rPr>
          <w:rFonts w:hint="eastAsia" w:ascii="仿宋_GB2312" w:hAnsi="仿宋_GB2312" w:eastAsia="仿宋_GB2312"/>
          <w:sz w:val="32"/>
          <w:szCs w:val="32"/>
          <w:highlight w:val="none"/>
          <w:u w:val="none"/>
          <w:lang w:eastAsia="zh-CN"/>
        </w:rPr>
        <w:t>%</w:t>
      </w:r>
      <w:r>
        <w:rPr>
          <w:rFonts w:eastAsia="仿宋_GB2312"/>
          <w:sz w:val="32"/>
          <w:szCs w:val="32"/>
          <w:highlight w:val="none"/>
          <w:u w:val="none"/>
        </w:rPr>
        <w:t>。主要原因是：</w:t>
      </w:r>
      <w:r>
        <w:rPr>
          <w:rFonts w:hint="eastAsia" w:ascii="仿宋_GB2312" w:hAnsi="仿宋_GB2312" w:eastAsia="仿宋_GB2312"/>
          <w:sz w:val="32"/>
          <w:szCs w:val="32"/>
          <w:highlight w:val="none"/>
          <w:u w:val="none"/>
          <w:lang w:val="en-US" w:eastAsia="zh-CN"/>
        </w:rPr>
        <w:t>我单位一般公共预算支出无公用经费预算</w:t>
      </w:r>
      <w:r>
        <w:rPr>
          <w:rFonts w:eastAsia="仿宋_GB2312"/>
          <w:sz w:val="32"/>
          <w:szCs w:val="32"/>
          <w:highlight w:val="none"/>
          <w:u w:val="none"/>
        </w:rPr>
        <w:t>。</w:t>
      </w:r>
    </w:p>
    <w:p w14:paraId="22A10561">
      <w:pPr>
        <w:spacing w:line="600" w:lineRule="exact"/>
        <w:ind w:left="0" w:leftChars="0" w:firstLine="640" w:firstLineChars="200"/>
        <w:outlineLvl w:val="2"/>
        <w:rPr>
          <w:rFonts w:eastAsia="黑体" w:cs="黑体"/>
          <w:b/>
          <w:bCs/>
          <w:sz w:val="32"/>
          <w:szCs w:val="36"/>
          <w:highlight w:val="none"/>
          <w:u w:val="none"/>
        </w:rPr>
      </w:pPr>
      <w:r>
        <w:rPr>
          <w:rFonts w:hint="eastAsia" w:eastAsia="黑体" w:cs="黑体"/>
          <w:sz w:val="32"/>
          <w:szCs w:val="36"/>
          <w:highlight w:val="none"/>
          <w:u w:val="none"/>
        </w:rPr>
        <w:t>十二、政府采购支出预算情况说明</w:t>
      </w:r>
    </w:p>
    <w:p w14:paraId="744D427C">
      <w:pPr>
        <w:spacing w:line="600" w:lineRule="exact"/>
        <w:ind w:firstLine="640" w:firstLineChars="200"/>
        <w:rPr>
          <w:rFonts w:hint="default" w:eastAsia="仿宋_GB2312"/>
          <w:sz w:val="32"/>
          <w:szCs w:val="32"/>
          <w:highlight w:val="none"/>
          <w:u w:val="none"/>
          <w:lang w:val="en-US" w:eastAsia="zh-CN"/>
        </w:rPr>
      </w:pPr>
      <w:r>
        <w:rPr>
          <w:rFonts w:hint="eastAsia" w:eastAsia="仿宋_GB2312" w:cstheme="minorBidi"/>
          <w:sz w:val="32"/>
          <w:szCs w:val="32"/>
          <w:highlight w:val="none"/>
          <w:u w:val="none"/>
          <w:lang w:val="en-US" w:eastAsia="zh-CN"/>
        </w:rPr>
        <w:t>内蒙古自治区第四医院（内蒙古自治区胸科医院、内蒙古自治区公共卫生突发事件医疗救治中心）2025</w:t>
      </w:r>
      <w:r>
        <w:rPr>
          <w:rFonts w:eastAsia="仿宋_GB2312"/>
          <w:sz w:val="32"/>
          <w:szCs w:val="32"/>
          <w:highlight w:val="none"/>
          <w:u w:val="none"/>
        </w:rPr>
        <w:t>年度政府采购支出预算总额</w:t>
      </w:r>
      <w:r>
        <w:rPr>
          <w:rFonts w:hint="eastAsia" w:eastAsia="仿宋_GB2312"/>
          <w:sz w:val="32"/>
          <w:szCs w:val="32"/>
          <w:highlight w:val="none"/>
          <w:u w:val="none"/>
          <w:lang w:val="en-US" w:eastAsia="zh-CN"/>
        </w:rPr>
        <w:t>9621.68</w:t>
      </w:r>
      <w:r>
        <w:rPr>
          <w:rFonts w:eastAsia="仿宋_GB2312"/>
          <w:sz w:val="32"/>
          <w:szCs w:val="32"/>
          <w:highlight w:val="none"/>
          <w:u w:val="none"/>
        </w:rPr>
        <w:t>万元，其中：拟采购货物支出</w:t>
      </w:r>
      <w:r>
        <w:rPr>
          <w:rFonts w:hint="eastAsia" w:eastAsia="仿宋_GB2312"/>
          <w:sz w:val="32"/>
          <w:szCs w:val="32"/>
          <w:highlight w:val="none"/>
          <w:u w:val="none"/>
          <w:lang w:val="en-US" w:eastAsia="zh-CN"/>
        </w:rPr>
        <w:t>7171.97</w:t>
      </w:r>
      <w:r>
        <w:rPr>
          <w:rFonts w:eastAsia="仿宋_GB2312"/>
          <w:sz w:val="32"/>
          <w:szCs w:val="32"/>
          <w:highlight w:val="none"/>
          <w:u w:val="none"/>
        </w:rPr>
        <w:t>万元、拟采购工程支出</w:t>
      </w:r>
      <w:r>
        <w:rPr>
          <w:rFonts w:hint="eastAsia" w:eastAsia="仿宋_GB2312"/>
          <w:sz w:val="32"/>
          <w:szCs w:val="32"/>
          <w:highlight w:val="none"/>
          <w:u w:val="none"/>
          <w:lang w:val="en-US" w:eastAsia="zh-CN"/>
        </w:rPr>
        <w:t>0</w:t>
      </w:r>
      <w:r>
        <w:rPr>
          <w:rFonts w:eastAsia="仿宋_GB2312"/>
          <w:sz w:val="32"/>
          <w:szCs w:val="32"/>
          <w:highlight w:val="none"/>
          <w:u w:val="none"/>
        </w:rPr>
        <w:t>万元、拟购买服务支出</w:t>
      </w:r>
      <w:r>
        <w:rPr>
          <w:rFonts w:hint="eastAsia" w:eastAsia="仿宋_GB2312"/>
          <w:sz w:val="32"/>
          <w:szCs w:val="32"/>
          <w:highlight w:val="none"/>
          <w:u w:val="none"/>
          <w:lang w:val="en-US" w:eastAsia="zh-CN"/>
        </w:rPr>
        <w:t>2449.71</w:t>
      </w:r>
      <w:r>
        <w:rPr>
          <w:rFonts w:eastAsia="仿宋_GB2312"/>
          <w:sz w:val="32"/>
          <w:szCs w:val="32"/>
          <w:highlight w:val="none"/>
          <w:u w:val="none"/>
        </w:rPr>
        <w:t>万元。</w:t>
      </w:r>
      <w:r>
        <w:rPr>
          <w:rFonts w:hint="eastAsia" w:eastAsia="仿宋_GB2312"/>
          <w:sz w:val="32"/>
          <w:szCs w:val="32"/>
          <w:highlight w:val="none"/>
          <w:u w:val="none"/>
          <w:lang w:val="en-US" w:eastAsia="zh-CN"/>
        </w:rPr>
        <w:t>与上年相比增加1773.50万元，增长364.48%。主要原因是：2025年度医院新增新建传染病大楼开办项目，用于购置新楼开办的相关医疗设备，因此本年度政府采购支出较上年上涨明显。</w:t>
      </w:r>
    </w:p>
    <w:p w14:paraId="79D40F45">
      <w:pPr>
        <w:spacing w:line="600" w:lineRule="exact"/>
        <w:ind w:left="0" w:leftChars="0" w:firstLine="640" w:firstLineChars="200"/>
        <w:outlineLvl w:val="2"/>
        <w:rPr>
          <w:rFonts w:eastAsia="黑体" w:cs="黑体"/>
          <w:sz w:val="32"/>
          <w:szCs w:val="36"/>
          <w:highlight w:val="none"/>
          <w:u w:val="none"/>
        </w:rPr>
      </w:pPr>
      <w:r>
        <w:rPr>
          <w:rFonts w:hint="eastAsia" w:eastAsia="黑体" w:cs="黑体"/>
          <w:sz w:val="32"/>
          <w:szCs w:val="36"/>
          <w:highlight w:val="none"/>
          <w:u w:val="none"/>
        </w:rPr>
        <w:t>十三、国有资产占用情况说明</w:t>
      </w:r>
    </w:p>
    <w:p w14:paraId="351FF81D">
      <w:pPr>
        <w:spacing w:line="600" w:lineRule="exact"/>
        <w:ind w:firstLine="640" w:firstLineChars="200"/>
        <w:rPr>
          <w:rFonts w:eastAsia="仿宋_GB2312" w:cstheme="minorBidi"/>
          <w:sz w:val="32"/>
          <w:szCs w:val="32"/>
          <w:highlight w:val="none"/>
          <w:u w:val="none"/>
        </w:rPr>
      </w:pPr>
      <w:r>
        <w:rPr>
          <w:rFonts w:hint="eastAsia" w:ascii="仿宋_GB2312" w:hAnsi="仿宋_GB2312" w:eastAsia="仿宋_GB2312" w:cs="仿宋"/>
          <w:sz w:val="32"/>
          <w:szCs w:val="32"/>
          <w:highlight w:val="none"/>
          <w:u w:val="none"/>
          <w:lang w:val="en-US" w:eastAsia="zh-CN"/>
        </w:rPr>
        <w:t>内蒙古自治区第四医院（内蒙古自治区胸科医院、内蒙古自治区公共卫生突发事件医疗救治中心）</w:t>
      </w:r>
      <w:r>
        <w:rPr>
          <w:rFonts w:eastAsia="仿宋_GB2312"/>
          <w:sz w:val="32"/>
          <w:szCs w:val="32"/>
          <w:highlight w:val="none"/>
          <w:u w:val="none"/>
        </w:rPr>
        <w:t>共有车辆</w:t>
      </w:r>
      <w:r>
        <w:rPr>
          <w:rFonts w:hint="eastAsia" w:eastAsia="仿宋_GB2312"/>
          <w:sz w:val="32"/>
          <w:szCs w:val="32"/>
          <w:highlight w:val="none"/>
          <w:u w:val="none"/>
          <w:lang w:val="en-US" w:eastAsia="zh-CN"/>
        </w:rPr>
        <w:t>29</w:t>
      </w:r>
      <w:r>
        <w:rPr>
          <w:rFonts w:eastAsia="仿宋_GB2312"/>
          <w:sz w:val="32"/>
          <w:szCs w:val="32"/>
          <w:highlight w:val="none"/>
          <w:u w:val="none"/>
        </w:rPr>
        <w:t>辆，其中，一般公务用车</w:t>
      </w:r>
      <w:r>
        <w:rPr>
          <w:rFonts w:eastAsia="仿宋_GB2312"/>
          <w:sz w:val="32"/>
          <w:szCs w:val="32"/>
          <w:highlight w:val="none"/>
          <w:u w:val="none"/>
        </w:rPr>
        <w:tab/>
      </w:r>
      <w:r>
        <w:rPr>
          <w:rFonts w:hint="eastAsia" w:eastAsia="仿宋_GB2312"/>
          <w:sz w:val="32"/>
          <w:szCs w:val="32"/>
          <w:highlight w:val="none"/>
          <w:u w:val="none"/>
          <w:lang w:val="en-US" w:eastAsia="zh-CN"/>
        </w:rPr>
        <w:t>0</w:t>
      </w:r>
      <w:r>
        <w:rPr>
          <w:rFonts w:eastAsia="仿宋_GB2312"/>
          <w:sz w:val="32"/>
          <w:szCs w:val="32"/>
          <w:highlight w:val="none"/>
          <w:u w:val="none"/>
        </w:rPr>
        <w:t>辆、执法执勤用车</w:t>
      </w:r>
      <w:r>
        <w:rPr>
          <w:rFonts w:hint="eastAsia" w:eastAsia="仿宋_GB2312"/>
          <w:sz w:val="32"/>
          <w:szCs w:val="32"/>
          <w:highlight w:val="none"/>
          <w:u w:val="none"/>
          <w:lang w:val="en-US" w:eastAsia="zh-CN"/>
        </w:rPr>
        <w:t>0</w:t>
      </w:r>
      <w:r>
        <w:rPr>
          <w:rFonts w:eastAsia="仿宋_GB2312"/>
          <w:sz w:val="32"/>
          <w:szCs w:val="32"/>
          <w:highlight w:val="none"/>
          <w:u w:val="none"/>
        </w:rPr>
        <w:t>辆、特种专业技术用车</w:t>
      </w:r>
      <w:r>
        <w:rPr>
          <w:rFonts w:hint="eastAsia" w:eastAsia="仿宋_GB2312"/>
          <w:sz w:val="32"/>
          <w:szCs w:val="32"/>
          <w:highlight w:val="none"/>
          <w:u w:val="none"/>
          <w:lang w:val="en-US" w:eastAsia="zh-CN"/>
        </w:rPr>
        <w:t>2</w:t>
      </w:r>
      <w:r>
        <w:rPr>
          <w:rFonts w:eastAsia="仿宋_GB2312"/>
          <w:sz w:val="32"/>
          <w:szCs w:val="32"/>
          <w:highlight w:val="none"/>
          <w:u w:val="none"/>
        </w:rPr>
        <w:t>辆、业务用车</w:t>
      </w:r>
      <w:r>
        <w:rPr>
          <w:rFonts w:hint="eastAsia" w:eastAsia="仿宋_GB2312"/>
          <w:sz w:val="32"/>
          <w:szCs w:val="32"/>
          <w:highlight w:val="none"/>
          <w:u w:val="none"/>
          <w:lang w:val="en-US" w:eastAsia="zh-CN"/>
        </w:rPr>
        <w:t>4</w:t>
      </w:r>
      <w:r>
        <w:rPr>
          <w:rFonts w:eastAsia="仿宋_GB2312"/>
          <w:sz w:val="32"/>
          <w:szCs w:val="32"/>
          <w:highlight w:val="none"/>
          <w:u w:val="none"/>
        </w:rPr>
        <w:t xml:space="preserve"> 辆、其他用车</w:t>
      </w:r>
      <w:r>
        <w:rPr>
          <w:rFonts w:hint="eastAsia" w:eastAsia="仿宋_GB2312"/>
          <w:sz w:val="32"/>
          <w:szCs w:val="32"/>
          <w:highlight w:val="none"/>
          <w:u w:val="none"/>
          <w:lang w:val="en-US" w:eastAsia="zh-CN"/>
        </w:rPr>
        <w:t>23</w:t>
      </w:r>
      <w:r>
        <w:rPr>
          <w:rFonts w:eastAsia="仿宋_GB2312"/>
          <w:sz w:val="32"/>
          <w:szCs w:val="32"/>
          <w:highlight w:val="none"/>
          <w:u w:val="none"/>
        </w:rPr>
        <w:t>辆等。单价50万元（含）以上的通用设备</w:t>
      </w:r>
      <w:r>
        <w:rPr>
          <w:rFonts w:hint="eastAsia" w:eastAsia="仿宋_GB2312"/>
          <w:sz w:val="32"/>
          <w:szCs w:val="32"/>
          <w:highlight w:val="none"/>
          <w:u w:val="none"/>
          <w:lang w:val="en-US" w:eastAsia="zh-CN"/>
        </w:rPr>
        <w:t>13</w:t>
      </w:r>
      <w:r>
        <w:rPr>
          <w:rFonts w:eastAsia="仿宋_GB2312"/>
          <w:sz w:val="32"/>
          <w:szCs w:val="32"/>
          <w:highlight w:val="none"/>
          <w:u w:val="none"/>
        </w:rPr>
        <w:t>台（套），单价100万元（含）以上的专用设备</w:t>
      </w:r>
      <w:r>
        <w:rPr>
          <w:rFonts w:eastAsia="仿宋_GB2312"/>
          <w:sz w:val="32"/>
          <w:szCs w:val="32"/>
          <w:highlight w:val="none"/>
          <w:u w:val="none"/>
        </w:rPr>
        <w:tab/>
      </w:r>
      <w:r>
        <w:rPr>
          <w:rFonts w:hint="eastAsia" w:eastAsia="仿宋_GB2312"/>
          <w:sz w:val="32"/>
          <w:szCs w:val="32"/>
          <w:highlight w:val="none"/>
          <w:u w:val="none"/>
          <w:lang w:val="en-US" w:eastAsia="zh-CN"/>
        </w:rPr>
        <w:t>52</w:t>
      </w:r>
      <w:r>
        <w:rPr>
          <w:rFonts w:eastAsia="仿宋_GB2312"/>
          <w:sz w:val="32"/>
          <w:szCs w:val="32"/>
          <w:highlight w:val="none"/>
          <w:u w:val="none"/>
        </w:rPr>
        <w:t>台（套）。</w:t>
      </w:r>
    </w:p>
    <w:p w14:paraId="1DF9CA1F">
      <w:pPr>
        <w:spacing w:line="600" w:lineRule="exact"/>
        <w:ind w:left="0" w:leftChars="0" w:firstLine="640" w:firstLineChars="200"/>
        <w:outlineLvl w:val="2"/>
        <w:rPr>
          <w:rFonts w:eastAsia="黑体" w:cs="黑体"/>
          <w:sz w:val="32"/>
          <w:szCs w:val="36"/>
          <w:highlight w:val="none"/>
          <w:u w:val="none"/>
        </w:rPr>
      </w:pPr>
      <w:r>
        <w:rPr>
          <w:rFonts w:hint="eastAsia" w:eastAsia="黑体" w:cs="黑体"/>
          <w:sz w:val="32"/>
          <w:szCs w:val="36"/>
          <w:highlight w:val="none"/>
          <w:u w:val="none"/>
        </w:rPr>
        <w:t xml:space="preserve">十四、项目绩效目标情况说明 </w:t>
      </w:r>
    </w:p>
    <w:p w14:paraId="27A94ABA">
      <w:pPr>
        <w:spacing w:line="600" w:lineRule="exact"/>
        <w:ind w:firstLine="640" w:firstLineChars="200"/>
        <w:rPr>
          <w:rFonts w:eastAsia="仿宋_GB2312" w:cstheme="minorBidi"/>
          <w:sz w:val="32"/>
          <w:szCs w:val="32"/>
          <w:highlight w:val="none"/>
          <w:u w:val="none"/>
        </w:rPr>
      </w:pPr>
      <w:r>
        <w:rPr>
          <w:rFonts w:hint="eastAsia" w:ascii="仿宋_GB2312" w:hAnsi="仿宋_GB2312" w:eastAsia="仿宋_GB2312" w:cs="仿宋"/>
          <w:sz w:val="32"/>
          <w:szCs w:val="32"/>
          <w:highlight w:val="none"/>
          <w:u w:val="none"/>
          <w:lang w:val="en-US" w:eastAsia="zh-CN"/>
        </w:rPr>
        <w:t>内蒙古自治区第四医院（内蒙古自治区胸科医院、内蒙古自治区公共卫生突发事件医疗救治中心）</w:t>
      </w:r>
      <w:r>
        <w:rPr>
          <w:rFonts w:eastAsia="仿宋_GB2312"/>
          <w:sz w:val="32"/>
          <w:szCs w:val="32"/>
          <w:highlight w:val="none"/>
          <w:u w:val="none"/>
        </w:rPr>
        <w:t>年度</w:t>
      </w:r>
      <w:r>
        <w:rPr>
          <w:rFonts w:hint="eastAsia" w:eastAsia="仿宋_GB2312" w:cstheme="minorBidi"/>
          <w:sz w:val="32"/>
          <w:szCs w:val="32"/>
          <w:highlight w:val="none"/>
          <w:u w:val="none"/>
        </w:rPr>
        <w:t>填报绩效目标的预算项目</w:t>
      </w:r>
      <w:r>
        <w:rPr>
          <w:rFonts w:hint="eastAsia" w:eastAsia="仿宋_GB2312" w:cstheme="minorBidi"/>
          <w:sz w:val="32"/>
          <w:szCs w:val="32"/>
          <w:highlight w:val="none"/>
          <w:u w:val="none"/>
          <w:lang w:val="en-US" w:eastAsia="zh-CN"/>
        </w:rPr>
        <w:t>15</w:t>
      </w:r>
      <w:r>
        <w:rPr>
          <w:rFonts w:hint="eastAsia" w:eastAsia="仿宋_GB2312" w:cstheme="minorBidi"/>
          <w:sz w:val="32"/>
          <w:szCs w:val="32"/>
          <w:highlight w:val="none"/>
          <w:u w:val="none"/>
        </w:rPr>
        <w:t>个，公开</w:t>
      </w:r>
      <w:r>
        <w:rPr>
          <w:rFonts w:hint="eastAsia" w:eastAsia="仿宋_GB2312" w:cstheme="minorBidi"/>
          <w:sz w:val="32"/>
          <w:szCs w:val="32"/>
          <w:highlight w:val="none"/>
          <w:u w:val="none"/>
          <w:lang w:val="en-US" w:eastAsia="zh-CN"/>
        </w:rPr>
        <w:t>项目15</w:t>
      </w:r>
      <w:r>
        <w:rPr>
          <w:rFonts w:hint="eastAsia" w:eastAsia="仿宋_GB2312" w:cstheme="minorBidi"/>
          <w:sz w:val="32"/>
          <w:szCs w:val="32"/>
          <w:highlight w:val="none"/>
          <w:u w:val="none"/>
        </w:rPr>
        <w:t>个，公开项目占全部预算项目的100</w:t>
      </w:r>
      <w:r>
        <w:rPr>
          <w:rFonts w:hint="eastAsia" w:ascii="仿宋_GB2312" w:hAnsi="仿宋_GB2312" w:eastAsia="仿宋_GB2312" w:cstheme="minorBidi"/>
          <w:sz w:val="32"/>
          <w:szCs w:val="32"/>
          <w:highlight w:val="none"/>
          <w:u w:val="none"/>
          <w:lang w:eastAsia="zh-CN"/>
        </w:rPr>
        <w:t>%</w:t>
      </w:r>
      <w:r>
        <w:rPr>
          <w:rFonts w:hint="eastAsia" w:eastAsia="仿宋_GB2312" w:cstheme="minorBidi"/>
          <w:sz w:val="32"/>
          <w:szCs w:val="32"/>
          <w:highlight w:val="none"/>
          <w:u w:val="none"/>
        </w:rPr>
        <w:t>。公开填报绩效目标的项目预算</w:t>
      </w:r>
      <w:r>
        <w:rPr>
          <w:rFonts w:hint="eastAsia" w:eastAsia="仿宋_GB2312" w:cstheme="minorBidi"/>
          <w:sz w:val="32"/>
          <w:szCs w:val="32"/>
          <w:highlight w:val="none"/>
          <w:u w:val="none"/>
          <w:lang w:val="en-US" w:eastAsia="zh-CN"/>
        </w:rPr>
        <w:t>29341.93</w:t>
      </w:r>
      <w:r>
        <w:rPr>
          <w:rFonts w:hint="eastAsia" w:eastAsia="仿宋_GB2312" w:cstheme="minorBidi"/>
          <w:sz w:val="32"/>
          <w:szCs w:val="32"/>
          <w:highlight w:val="none"/>
          <w:u w:val="none"/>
        </w:rPr>
        <w:t>万元，占全部项目预算的100</w:t>
      </w:r>
      <w:r>
        <w:rPr>
          <w:rFonts w:hint="eastAsia" w:ascii="仿宋_GB2312" w:hAnsi="仿宋_GB2312" w:eastAsia="仿宋_GB2312" w:cstheme="minorBidi"/>
          <w:sz w:val="32"/>
          <w:szCs w:val="32"/>
          <w:highlight w:val="none"/>
          <w:u w:val="none"/>
          <w:lang w:eastAsia="zh-CN"/>
        </w:rPr>
        <w:t>%</w:t>
      </w:r>
      <w:r>
        <w:rPr>
          <w:rFonts w:hint="eastAsia" w:eastAsia="仿宋_GB2312" w:cstheme="minorBidi"/>
          <w:sz w:val="32"/>
          <w:szCs w:val="32"/>
          <w:highlight w:val="none"/>
          <w:u w:val="none"/>
        </w:rPr>
        <w:t xml:space="preserve">。 </w:t>
      </w:r>
    </w:p>
    <w:p w14:paraId="694C7C05">
      <w:pPr>
        <w:pStyle w:val="18"/>
        <w:spacing w:after="0" w:line="600" w:lineRule="exact"/>
        <w:rPr>
          <w:rFonts w:hint="default" w:ascii="方正小标宋简体" w:hAnsi="方正小标宋简体" w:eastAsia="方正小标宋简体" w:cs="方正小标宋简体"/>
          <w:sz w:val="36"/>
          <w:szCs w:val="36"/>
          <w:highlight w:val="none"/>
          <w:u w:val="none"/>
        </w:rPr>
      </w:pPr>
    </w:p>
    <w:p w14:paraId="583AB82E">
      <w:pPr>
        <w:pStyle w:val="3"/>
        <w:tabs>
          <w:tab w:val="left" w:pos="4392"/>
        </w:tabs>
        <w:adjustRightInd/>
        <w:snapToGrid/>
        <w:spacing w:before="0" w:after="0" w:line="600" w:lineRule="exact"/>
        <w:ind w:firstLine="0" w:firstLineChars="0"/>
        <w:jc w:val="center"/>
        <w:rPr>
          <w:rFonts w:ascii="方正小标宋简体" w:hAnsi="方正小标宋简体" w:eastAsia="方正小标宋简体" w:cs="方正小标宋简体"/>
          <w:b w:val="0"/>
          <w:bCs w:val="0"/>
          <w:sz w:val="36"/>
          <w:szCs w:val="36"/>
          <w:highlight w:val="none"/>
          <w:u w:val="none"/>
        </w:rPr>
      </w:pPr>
      <w:bookmarkStart w:id="2" w:name="_Toc15573"/>
      <w:r>
        <w:rPr>
          <w:rFonts w:hint="eastAsia" w:ascii="方正小标宋简体" w:hAnsi="方正小标宋简体" w:eastAsia="方正小标宋简体" w:cs="方正小标宋简体"/>
          <w:b w:val="0"/>
          <w:bCs w:val="0"/>
          <w:sz w:val="36"/>
          <w:szCs w:val="36"/>
          <w:highlight w:val="none"/>
          <w:u w:val="none"/>
        </w:rPr>
        <w:t>第三部分</w:t>
      </w:r>
      <w:r>
        <w:rPr>
          <w:rFonts w:hint="eastAsia" w:ascii="方正小标宋简体" w:hAnsi="方正小标宋简体" w:eastAsia="方正小标宋简体" w:cs="方正小标宋简体"/>
          <w:b w:val="0"/>
          <w:bCs w:val="0"/>
          <w:sz w:val="36"/>
          <w:szCs w:val="36"/>
          <w:highlight w:val="none"/>
          <w:u w:val="none"/>
          <w:lang w:val="en-US" w:eastAsia="zh-CN"/>
        </w:rPr>
        <w:t xml:space="preserve">  </w:t>
      </w:r>
      <w:r>
        <w:rPr>
          <w:rFonts w:hint="eastAsia" w:ascii="方正小标宋简体" w:hAnsi="方正小标宋简体" w:eastAsia="方正小标宋简体" w:cs="方正小标宋简体"/>
          <w:b w:val="0"/>
          <w:bCs w:val="0"/>
          <w:sz w:val="36"/>
          <w:szCs w:val="36"/>
          <w:highlight w:val="none"/>
          <w:u w:val="none"/>
        </w:rPr>
        <w:t>名词解释</w:t>
      </w:r>
      <w:bookmarkEnd w:id="2"/>
    </w:p>
    <w:p w14:paraId="004CE69A">
      <w:pPr>
        <w:rPr>
          <w:sz w:val="36"/>
          <w:szCs w:val="36"/>
          <w:highlight w:val="none"/>
          <w:u w:val="none"/>
        </w:rPr>
      </w:pPr>
    </w:p>
    <w:p w14:paraId="6CACD2F2">
      <w:pPr>
        <w:spacing w:line="600" w:lineRule="exact"/>
        <w:ind w:firstLine="643" w:firstLineChars="200"/>
        <w:rPr>
          <w:rFonts w:eastAsia="仿宋_GB2312" w:cstheme="minorBidi"/>
          <w:sz w:val="32"/>
          <w:szCs w:val="32"/>
          <w:highlight w:val="none"/>
          <w:u w:val="none"/>
        </w:rPr>
      </w:pPr>
      <w:r>
        <w:rPr>
          <w:rFonts w:hint="eastAsia" w:eastAsia="仿宋_GB2312" w:cstheme="minorBidi"/>
          <w:b/>
          <w:bCs/>
          <w:sz w:val="32"/>
          <w:szCs w:val="32"/>
          <w:highlight w:val="none"/>
          <w:u w:val="none"/>
        </w:rPr>
        <w:t>一、财政拨款：</w:t>
      </w:r>
      <w:r>
        <w:rPr>
          <w:rFonts w:hint="eastAsia" w:eastAsia="仿宋_GB2312" w:cstheme="minorBidi"/>
          <w:sz w:val="32"/>
          <w:szCs w:val="32"/>
          <w:highlight w:val="none"/>
          <w:u w:val="none"/>
        </w:rPr>
        <w:t>从同级财政部门取得的各类财政拨款，包括一般公共预算拨款、政府性基金预算拨款、国有资本经营预算拨款。</w:t>
      </w:r>
    </w:p>
    <w:p w14:paraId="6D7ACE17">
      <w:pPr>
        <w:spacing w:line="600" w:lineRule="exact"/>
        <w:ind w:firstLine="643" w:firstLineChars="200"/>
        <w:rPr>
          <w:highlight w:val="none"/>
          <w:u w:val="none"/>
        </w:rPr>
      </w:pPr>
      <w:r>
        <w:rPr>
          <w:rFonts w:hint="eastAsia" w:eastAsia="仿宋_GB2312" w:cstheme="minorBidi"/>
          <w:b/>
          <w:bCs/>
          <w:sz w:val="32"/>
          <w:szCs w:val="32"/>
          <w:highlight w:val="none"/>
          <w:u w:val="none"/>
        </w:rPr>
        <w:t>二、一般公共预算拨款收入：</w:t>
      </w:r>
      <w:r>
        <w:rPr>
          <w:rFonts w:hint="eastAsia" w:ascii="Times New Roman" w:hAnsi="Times New Roman" w:eastAsia="仿宋_GB2312" w:cs="仿宋"/>
          <w:bCs/>
          <w:sz w:val="30"/>
          <w:szCs w:val="30"/>
          <w:highlight w:val="none"/>
          <w:u w:val="none"/>
        </w:rPr>
        <w:t>指财政当年拨付的资金。</w:t>
      </w:r>
    </w:p>
    <w:p w14:paraId="3998C36F">
      <w:pPr>
        <w:spacing w:line="600" w:lineRule="exact"/>
        <w:ind w:firstLine="643" w:firstLineChars="200"/>
        <w:rPr>
          <w:rFonts w:eastAsia="仿宋_GB2312" w:cstheme="minorBidi"/>
          <w:sz w:val="32"/>
          <w:szCs w:val="32"/>
          <w:highlight w:val="none"/>
          <w:u w:val="none"/>
        </w:rPr>
      </w:pPr>
      <w:r>
        <w:rPr>
          <w:rFonts w:hint="eastAsia" w:eastAsia="仿宋_GB2312" w:cstheme="minorBidi"/>
          <w:b/>
          <w:bCs/>
          <w:sz w:val="32"/>
          <w:szCs w:val="32"/>
          <w:highlight w:val="none"/>
          <w:u w:val="none"/>
        </w:rPr>
        <w:t>三、财政专户管理资金：</w:t>
      </w:r>
      <w:r>
        <w:rPr>
          <w:rFonts w:hint="eastAsia" w:eastAsia="仿宋_GB2312" w:cstheme="minorBidi"/>
          <w:sz w:val="32"/>
          <w:szCs w:val="32"/>
          <w:highlight w:val="none"/>
          <w:u w:val="none"/>
        </w:rPr>
        <w:t>缴入财政专户、实行专项管理的高中以上学费、住宿费、高校委托培养费、函大、电大、夜大及短训班培训费等教育收费。</w:t>
      </w:r>
    </w:p>
    <w:p w14:paraId="71EF5576">
      <w:pPr>
        <w:spacing w:line="600" w:lineRule="exact"/>
        <w:ind w:firstLine="643" w:firstLineChars="200"/>
        <w:rPr>
          <w:rFonts w:eastAsia="仿宋_GB2312" w:cstheme="minorBidi"/>
          <w:sz w:val="32"/>
          <w:szCs w:val="32"/>
          <w:highlight w:val="none"/>
          <w:u w:val="none"/>
        </w:rPr>
      </w:pPr>
      <w:r>
        <w:rPr>
          <w:rFonts w:hint="eastAsia" w:eastAsia="仿宋_GB2312" w:cstheme="minorBidi"/>
          <w:b/>
          <w:bCs/>
          <w:sz w:val="32"/>
          <w:szCs w:val="32"/>
          <w:highlight w:val="none"/>
          <w:u w:val="none"/>
        </w:rPr>
        <w:t>四、单位资金：</w:t>
      </w:r>
      <w:r>
        <w:rPr>
          <w:rFonts w:hint="eastAsia" w:eastAsia="仿宋_GB2312" w:cstheme="minorBidi"/>
          <w:sz w:val="32"/>
          <w:szCs w:val="32"/>
          <w:highlight w:val="none"/>
          <w:u w:val="none"/>
        </w:rPr>
        <w:t>除财政拨款收入和财政专户管理资金以外的收入，包括事业收入（不含教育收费）、上级补助收入、附属单位上缴收入、事业单位经营收入及其他收入（包含债务收入、投资收益等）。</w:t>
      </w:r>
    </w:p>
    <w:p w14:paraId="50598342">
      <w:pPr>
        <w:spacing w:line="600" w:lineRule="exact"/>
        <w:ind w:firstLine="643" w:firstLineChars="200"/>
        <w:rPr>
          <w:rFonts w:eastAsia="仿宋_GB2312" w:cstheme="minorBidi"/>
          <w:sz w:val="32"/>
          <w:szCs w:val="32"/>
          <w:highlight w:val="none"/>
          <w:u w:val="none"/>
        </w:rPr>
      </w:pPr>
      <w:r>
        <w:rPr>
          <w:rFonts w:hint="eastAsia" w:eastAsia="仿宋_GB2312" w:cstheme="minorBidi"/>
          <w:b/>
          <w:bCs/>
          <w:sz w:val="32"/>
          <w:szCs w:val="32"/>
          <w:highlight w:val="none"/>
          <w:u w:val="none"/>
        </w:rPr>
        <w:t>五、基本支出：</w:t>
      </w:r>
      <w:r>
        <w:rPr>
          <w:rFonts w:hint="eastAsia" w:eastAsia="仿宋_GB2312" w:cstheme="minorBidi"/>
          <w:sz w:val="32"/>
          <w:szCs w:val="32"/>
          <w:highlight w:val="none"/>
          <w:u w:val="none"/>
        </w:rPr>
        <w:t>指为保障机构正常运转、完成工作任务而发生的人员支出和公用支出。</w:t>
      </w:r>
    </w:p>
    <w:p w14:paraId="763B30EF">
      <w:pPr>
        <w:spacing w:line="600" w:lineRule="exact"/>
        <w:ind w:firstLine="643" w:firstLineChars="200"/>
        <w:rPr>
          <w:rFonts w:eastAsia="仿宋_GB2312" w:cstheme="minorBidi"/>
          <w:sz w:val="32"/>
          <w:szCs w:val="32"/>
          <w:highlight w:val="none"/>
          <w:u w:val="none"/>
        </w:rPr>
      </w:pPr>
      <w:r>
        <w:rPr>
          <w:rFonts w:hint="eastAsia" w:eastAsia="仿宋_GB2312" w:cstheme="minorBidi"/>
          <w:b/>
          <w:bCs/>
          <w:sz w:val="32"/>
          <w:szCs w:val="32"/>
          <w:highlight w:val="none"/>
          <w:u w:val="none"/>
        </w:rPr>
        <w:t>六、项目支出：</w:t>
      </w:r>
      <w:r>
        <w:rPr>
          <w:rFonts w:hint="eastAsia" w:eastAsia="仿宋_GB2312" w:cstheme="minorBidi"/>
          <w:sz w:val="32"/>
          <w:szCs w:val="32"/>
          <w:highlight w:val="none"/>
          <w:u w:val="none"/>
        </w:rPr>
        <w:t>指在基本支出之外为完成特定工作任务和事业发展目标所发生的支出。</w:t>
      </w:r>
    </w:p>
    <w:p w14:paraId="445E7BFF">
      <w:pPr>
        <w:spacing w:line="600" w:lineRule="exact"/>
        <w:ind w:firstLine="643" w:firstLineChars="200"/>
        <w:rPr>
          <w:rFonts w:eastAsia="仿宋_GB2312" w:cstheme="minorBidi"/>
          <w:sz w:val="32"/>
          <w:szCs w:val="32"/>
          <w:highlight w:val="none"/>
          <w:u w:val="none"/>
        </w:rPr>
      </w:pPr>
      <w:r>
        <w:rPr>
          <w:rFonts w:hint="eastAsia" w:eastAsia="仿宋_GB2312" w:cstheme="minorBidi"/>
          <w:b/>
          <w:bCs/>
          <w:sz w:val="32"/>
          <w:szCs w:val="32"/>
          <w:highlight w:val="none"/>
          <w:u w:val="none"/>
        </w:rPr>
        <w:t>七、对个人和家庭的补助：</w:t>
      </w:r>
      <w:r>
        <w:rPr>
          <w:rFonts w:hint="eastAsia" w:eastAsia="仿宋_GB2312" w:cstheme="minorBidi"/>
          <w:sz w:val="32"/>
          <w:szCs w:val="32"/>
          <w:highlight w:val="none"/>
          <w:u w:val="none"/>
        </w:rPr>
        <w:t>是指政府用于对个人和家庭的补助支出。</w:t>
      </w:r>
    </w:p>
    <w:p w14:paraId="08AB9BFA">
      <w:pPr>
        <w:spacing w:line="600" w:lineRule="exact"/>
        <w:ind w:firstLine="643" w:firstLineChars="200"/>
        <w:rPr>
          <w:rFonts w:eastAsia="仿宋_GB2312" w:cstheme="minorBidi"/>
          <w:sz w:val="32"/>
          <w:szCs w:val="32"/>
          <w:highlight w:val="none"/>
          <w:u w:val="none"/>
        </w:rPr>
      </w:pPr>
      <w:r>
        <w:rPr>
          <w:rFonts w:hint="eastAsia" w:eastAsia="仿宋_GB2312" w:cstheme="minorBidi"/>
          <w:b/>
          <w:bCs/>
          <w:sz w:val="32"/>
          <w:szCs w:val="32"/>
          <w:highlight w:val="none"/>
          <w:u w:val="none"/>
        </w:rPr>
        <w:t>八、“三公”经费：</w:t>
      </w:r>
      <w:r>
        <w:rPr>
          <w:rFonts w:hint="eastAsia" w:eastAsia="仿宋_GB2312" w:cstheme="minorBidi"/>
          <w:sz w:val="32"/>
          <w:szCs w:val="32"/>
          <w:highlight w:val="none"/>
          <w:u w:val="none"/>
        </w:rPr>
        <w:t>指部门</w:t>
      </w:r>
      <w:r>
        <w:rPr>
          <w:rFonts w:hint="eastAsia" w:eastAsia="仿宋_GB2312" w:cstheme="minorBidi"/>
          <w:sz w:val="32"/>
          <w:szCs w:val="32"/>
          <w:highlight w:val="none"/>
          <w:u w:val="none"/>
          <w:lang w:eastAsia="zh-CN"/>
        </w:rPr>
        <w:t>（</w:t>
      </w:r>
      <w:r>
        <w:rPr>
          <w:rFonts w:hint="eastAsia" w:eastAsia="仿宋_GB2312" w:cstheme="minorBidi"/>
          <w:sz w:val="32"/>
          <w:szCs w:val="32"/>
          <w:highlight w:val="none"/>
          <w:u w:val="none"/>
        </w:rPr>
        <w:t>单位</w:t>
      </w:r>
      <w:r>
        <w:rPr>
          <w:rFonts w:hint="eastAsia" w:eastAsia="仿宋_GB2312" w:cstheme="minorBidi"/>
          <w:sz w:val="32"/>
          <w:szCs w:val="32"/>
          <w:highlight w:val="none"/>
          <w:u w:val="none"/>
          <w:lang w:eastAsia="zh-CN"/>
        </w:rPr>
        <w:t>）</w:t>
      </w:r>
      <w:r>
        <w:rPr>
          <w:rFonts w:hint="eastAsia" w:eastAsia="仿宋_GB2312" w:cstheme="minorBidi"/>
          <w:sz w:val="32"/>
          <w:szCs w:val="32"/>
          <w:highlight w:val="none"/>
          <w:u w:val="none"/>
        </w:rPr>
        <w:t>用一般公共预算财政拨款安排的因公出国（境）费、公务用车购置及运行维护费和公务接待费。其中，因公出国（境）费反映部门</w:t>
      </w:r>
      <w:r>
        <w:rPr>
          <w:rFonts w:hint="eastAsia" w:eastAsia="仿宋_GB2312" w:cstheme="minorBidi"/>
          <w:sz w:val="32"/>
          <w:szCs w:val="32"/>
          <w:highlight w:val="none"/>
          <w:u w:val="none"/>
          <w:lang w:eastAsia="zh-CN"/>
        </w:rPr>
        <w:t>（</w:t>
      </w:r>
      <w:r>
        <w:rPr>
          <w:rFonts w:hint="eastAsia" w:eastAsia="仿宋_GB2312" w:cstheme="minorBidi"/>
          <w:sz w:val="32"/>
          <w:szCs w:val="32"/>
          <w:highlight w:val="none"/>
          <w:u w:val="none"/>
        </w:rPr>
        <w:t>单位</w:t>
      </w:r>
      <w:r>
        <w:rPr>
          <w:rFonts w:hint="eastAsia" w:eastAsia="仿宋_GB2312" w:cstheme="minorBidi"/>
          <w:sz w:val="32"/>
          <w:szCs w:val="32"/>
          <w:highlight w:val="none"/>
          <w:u w:val="none"/>
          <w:lang w:eastAsia="zh-CN"/>
        </w:rPr>
        <w:t>）</w:t>
      </w:r>
      <w:r>
        <w:rPr>
          <w:rFonts w:hint="eastAsia" w:eastAsia="仿宋_GB2312" w:cstheme="minorBidi"/>
          <w:sz w:val="32"/>
          <w:szCs w:val="32"/>
          <w:highlight w:val="none"/>
          <w:u w:val="none"/>
        </w:rPr>
        <w:t>公务出国（境）的住宿费、旅费、伙食补助费、杂费、培训费等支出；公务用车购置及运行维护费反映部门</w:t>
      </w:r>
      <w:r>
        <w:rPr>
          <w:rFonts w:hint="eastAsia" w:eastAsia="仿宋_GB2312" w:cstheme="minorBidi"/>
          <w:sz w:val="32"/>
          <w:szCs w:val="32"/>
          <w:highlight w:val="none"/>
          <w:u w:val="none"/>
          <w:lang w:eastAsia="zh-CN"/>
        </w:rPr>
        <w:t>（</w:t>
      </w:r>
      <w:r>
        <w:rPr>
          <w:rFonts w:hint="eastAsia" w:eastAsia="仿宋_GB2312" w:cstheme="minorBidi"/>
          <w:sz w:val="32"/>
          <w:szCs w:val="32"/>
          <w:highlight w:val="none"/>
          <w:u w:val="none"/>
        </w:rPr>
        <w:t>单位</w:t>
      </w:r>
      <w:r>
        <w:rPr>
          <w:rFonts w:hint="eastAsia" w:eastAsia="仿宋_GB2312" w:cstheme="minorBidi"/>
          <w:sz w:val="32"/>
          <w:szCs w:val="32"/>
          <w:highlight w:val="none"/>
          <w:u w:val="none"/>
          <w:lang w:eastAsia="zh-CN"/>
        </w:rPr>
        <w:t>）</w:t>
      </w:r>
      <w:r>
        <w:rPr>
          <w:rFonts w:hint="eastAsia" w:eastAsia="仿宋_GB2312" w:cstheme="minorBidi"/>
          <w:sz w:val="32"/>
          <w:szCs w:val="32"/>
          <w:highlight w:val="none"/>
          <w:u w:val="none"/>
        </w:rPr>
        <w:t>公务用车购置费、燃料费、维修费、过路过桥费、保险费、安全奖励费用等支出；公务接待费反映部门</w:t>
      </w:r>
      <w:r>
        <w:rPr>
          <w:rFonts w:hint="eastAsia" w:eastAsia="仿宋_GB2312" w:cstheme="minorBidi"/>
          <w:sz w:val="32"/>
          <w:szCs w:val="32"/>
          <w:highlight w:val="none"/>
          <w:u w:val="none"/>
          <w:lang w:eastAsia="zh-CN"/>
        </w:rPr>
        <w:t>（</w:t>
      </w:r>
      <w:r>
        <w:rPr>
          <w:rFonts w:hint="eastAsia" w:eastAsia="仿宋_GB2312" w:cstheme="minorBidi"/>
          <w:sz w:val="32"/>
          <w:szCs w:val="32"/>
          <w:highlight w:val="none"/>
          <w:u w:val="none"/>
        </w:rPr>
        <w:t>单位</w:t>
      </w:r>
      <w:r>
        <w:rPr>
          <w:rFonts w:hint="eastAsia" w:eastAsia="仿宋_GB2312" w:cstheme="minorBidi"/>
          <w:sz w:val="32"/>
          <w:szCs w:val="32"/>
          <w:highlight w:val="none"/>
          <w:u w:val="none"/>
          <w:lang w:eastAsia="zh-CN"/>
        </w:rPr>
        <w:t>）</w:t>
      </w:r>
      <w:r>
        <w:rPr>
          <w:rFonts w:hint="eastAsia" w:eastAsia="仿宋_GB2312" w:cstheme="minorBidi"/>
          <w:sz w:val="32"/>
          <w:szCs w:val="32"/>
          <w:highlight w:val="none"/>
          <w:u w:val="none"/>
        </w:rPr>
        <w:t>按规定开支的各类公务接待（含外宾接待）支出。</w:t>
      </w:r>
    </w:p>
    <w:p w14:paraId="0075EBF8">
      <w:pPr>
        <w:spacing w:line="600" w:lineRule="exact"/>
        <w:ind w:firstLine="643" w:firstLineChars="200"/>
        <w:rPr>
          <w:rFonts w:eastAsia="仿宋_GB2312" w:cstheme="minorBidi"/>
          <w:sz w:val="32"/>
          <w:szCs w:val="32"/>
          <w:highlight w:val="none"/>
          <w:u w:val="none"/>
        </w:rPr>
      </w:pPr>
      <w:r>
        <w:rPr>
          <w:rFonts w:hint="eastAsia" w:eastAsia="仿宋_GB2312" w:cstheme="minorBidi"/>
          <w:b/>
          <w:bCs/>
          <w:sz w:val="32"/>
          <w:szCs w:val="32"/>
          <w:highlight w:val="none"/>
          <w:u w:val="none"/>
        </w:rPr>
        <w:t>九、</w:t>
      </w:r>
      <w:r>
        <w:rPr>
          <w:rFonts w:hint="eastAsia" w:eastAsia="仿宋_GB2312" w:cstheme="minorBidi"/>
          <w:b/>
          <w:bCs/>
          <w:sz w:val="32"/>
          <w:szCs w:val="32"/>
          <w:highlight w:val="none"/>
          <w:u w:val="none"/>
          <w:lang w:val="en-US" w:eastAsia="zh-CN"/>
        </w:rPr>
        <w:t>机构</w:t>
      </w:r>
      <w:r>
        <w:rPr>
          <w:rFonts w:hint="eastAsia" w:eastAsia="仿宋_GB2312" w:cstheme="minorBidi"/>
          <w:b/>
          <w:bCs/>
          <w:sz w:val="32"/>
          <w:szCs w:val="32"/>
          <w:highlight w:val="none"/>
          <w:u w:val="none"/>
        </w:rPr>
        <w:t>运行经费：</w:t>
      </w:r>
      <w:r>
        <w:rPr>
          <w:rFonts w:hint="eastAsia" w:eastAsia="仿宋_GB2312" w:cstheme="minorBidi"/>
          <w:sz w:val="32"/>
          <w:szCs w:val="32"/>
          <w:highlight w:val="none"/>
          <w:u w:val="none"/>
        </w:rPr>
        <w:t>指部门</w:t>
      </w:r>
      <w:r>
        <w:rPr>
          <w:rFonts w:hint="eastAsia" w:eastAsia="仿宋_GB2312" w:cstheme="minorBidi"/>
          <w:sz w:val="32"/>
          <w:szCs w:val="32"/>
          <w:highlight w:val="none"/>
          <w:u w:val="none"/>
          <w:lang w:eastAsia="zh-CN"/>
        </w:rPr>
        <w:t>（</w:t>
      </w:r>
      <w:r>
        <w:rPr>
          <w:rFonts w:hint="eastAsia" w:eastAsia="仿宋_GB2312" w:cstheme="minorBidi"/>
          <w:sz w:val="32"/>
          <w:szCs w:val="32"/>
          <w:highlight w:val="none"/>
          <w:u w:val="none"/>
        </w:rPr>
        <w:t>单位</w:t>
      </w:r>
      <w:r>
        <w:rPr>
          <w:rFonts w:hint="eastAsia" w:eastAsia="仿宋_GB2312" w:cstheme="minorBidi"/>
          <w:sz w:val="32"/>
          <w:szCs w:val="32"/>
          <w:highlight w:val="none"/>
          <w:u w:val="none"/>
          <w:lang w:eastAsia="zh-CN"/>
        </w:rPr>
        <w:t>）</w:t>
      </w:r>
      <w:r>
        <w:rPr>
          <w:rFonts w:hint="eastAsia" w:eastAsia="仿宋_GB2312" w:cstheme="minorBidi"/>
          <w:sz w:val="32"/>
          <w:szCs w:val="32"/>
          <w:highlight w:val="none"/>
          <w:u w:val="none"/>
        </w:rPr>
        <w:t>使用一般公共预算安排的基本支出中的日常公用经费支出，包括办公及印刷费、邮电费、差旅费、会议费、福利费、日常维修费、专用材料及一般设备购置费、办公用房水电费、办公用房取暖费、办公用房物业管理费、公务用车运行维护费及其他费用等。</w:t>
      </w:r>
    </w:p>
    <w:p w14:paraId="2E4EC651">
      <w:pPr>
        <w:spacing w:line="600" w:lineRule="exact"/>
        <w:jc w:val="center"/>
        <w:rPr>
          <w:rFonts w:ascii="方正小标宋简体" w:hAnsi="方正小标宋简体" w:eastAsia="方正小标宋简体" w:cs="方正小标宋简体"/>
          <w:sz w:val="36"/>
          <w:szCs w:val="36"/>
          <w:highlight w:val="none"/>
          <w:u w:val="none"/>
        </w:rPr>
      </w:pPr>
    </w:p>
    <w:p w14:paraId="7F6D2932">
      <w:pPr>
        <w:pStyle w:val="3"/>
        <w:tabs>
          <w:tab w:val="left" w:pos="4392"/>
        </w:tabs>
        <w:adjustRightInd/>
        <w:snapToGrid/>
        <w:spacing w:before="0" w:after="0" w:line="600" w:lineRule="exact"/>
        <w:ind w:firstLine="0" w:firstLineChars="0"/>
        <w:jc w:val="center"/>
        <w:rPr>
          <w:rFonts w:ascii="方正小标宋简体" w:hAnsi="方正小标宋简体" w:eastAsia="方正小标宋简体" w:cs="方正小标宋简体"/>
          <w:b w:val="0"/>
          <w:bCs w:val="0"/>
          <w:sz w:val="36"/>
          <w:szCs w:val="36"/>
          <w:highlight w:val="none"/>
          <w:u w:val="none"/>
        </w:rPr>
      </w:pPr>
      <w:bookmarkStart w:id="3" w:name="_Toc21331"/>
      <w:r>
        <w:rPr>
          <w:rFonts w:hint="eastAsia" w:ascii="方正小标宋简体" w:hAnsi="方正小标宋简体" w:eastAsia="方正小标宋简体" w:cs="方正小标宋简体"/>
          <w:b w:val="0"/>
          <w:bCs w:val="0"/>
          <w:sz w:val="36"/>
          <w:szCs w:val="36"/>
          <w:highlight w:val="none"/>
          <w:u w:val="none"/>
        </w:rPr>
        <w:t>第四部分</w:t>
      </w:r>
      <w:r>
        <w:rPr>
          <w:rFonts w:hint="eastAsia" w:ascii="方正小标宋简体" w:hAnsi="方正小标宋简体" w:eastAsia="方正小标宋简体" w:cs="方正小标宋简体"/>
          <w:b w:val="0"/>
          <w:bCs w:val="0"/>
          <w:sz w:val="36"/>
          <w:szCs w:val="36"/>
          <w:highlight w:val="none"/>
          <w:u w:val="none"/>
          <w:lang w:val="en-US" w:eastAsia="zh-CN"/>
        </w:rPr>
        <w:t xml:space="preserve">  </w:t>
      </w:r>
      <w:r>
        <w:rPr>
          <w:rFonts w:hint="eastAsia" w:ascii="方正小标宋简体" w:hAnsi="方正小标宋简体" w:eastAsia="方正小标宋简体" w:cs="方正小标宋简体"/>
          <w:b w:val="0"/>
          <w:bCs w:val="0"/>
          <w:sz w:val="36"/>
          <w:szCs w:val="36"/>
          <w:highlight w:val="none"/>
          <w:u w:val="none"/>
        </w:rPr>
        <w:t>预算公开联系方式及信息反馈渠道</w:t>
      </w:r>
      <w:bookmarkEnd w:id="3"/>
    </w:p>
    <w:p w14:paraId="52CB124F">
      <w:pPr>
        <w:snapToGrid w:val="0"/>
        <w:spacing w:line="600" w:lineRule="exact"/>
        <w:rPr>
          <w:rFonts w:ascii="方正小标宋简体" w:hAnsi="方正小标宋简体" w:eastAsia="方正小标宋简体" w:cs="方正小标宋简体"/>
          <w:sz w:val="36"/>
          <w:szCs w:val="36"/>
          <w:highlight w:val="none"/>
          <w:u w:val="none"/>
        </w:rPr>
      </w:pPr>
    </w:p>
    <w:p w14:paraId="1B9D4641">
      <w:pPr>
        <w:snapToGrid w:val="0"/>
        <w:spacing w:line="600" w:lineRule="exact"/>
        <w:ind w:firstLine="640" w:firstLineChars="200"/>
        <w:rPr>
          <w:rFonts w:ascii="仿宋_GB2312" w:hAnsi="仿宋_GB2312" w:eastAsia="仿宋_GB2312" w:cs="仿宋_GB2312"/>
          <w:sz w:val="32"/>
          <w:szCs w:val="32"/>
          <w:highlight w:val="none"/>
          <w:u w:val="none"/>
        </w:rPr>
      </w:pPr>
      <w:r>
        <w:rPr>
          <w:rFonts w:hint="eastAsia" w:ascii="仿宋_GB2312" w:hAnsi="仿宋_GB2312" w:eastAsia="仿宋_GB2312" w:cs="仿宋_GB2312"/>
          <w:sz w:val="32"/>
          <w:szCs w:val="32"/>
          <w:highlight w:val="none"/>
          <w:u w:val="none"/>
        </w:rPr>
        <w:t>本单位预算公开信息反馈和联系方式：</w:t>
      </w:r>
    </w:p>
    <w:p w14:paraId="1D94BB35">
      <w:pPr>
        <w:snapToGrid w:val="0"/>
        <w:spacing w:line="600" w:lineRule="exact"/>
        <w:ind w:firstLine="640" w:firstLineChars="200"/>
        <w:rPr>
          <w:rFonts w:hint="default" w:ascii="仿宋_GB2312" w:hAnsi="仿宋_GB2312" w:eastAsia="仿宋_GB2312" w:cs="仿宋_GB2312"/>
          <w:sz w:val="32"/>
          <w:szCs w:val="32"/>
          <w:highlight w:val="none"/>
          <w:u w:val="none"/>
          <w:lang w:val="en-US" w:eastAsia="zh-CN"/>
        </w:rPr>
        <w:sectPr>
          <w:pgSz w:w="11910" w:h="16840"/>
          <w:pgMar w:top="1580" w:right="1630" w:bottom="280" w:left="1240" w:header="720" w:footer="720" w:gutter="0"/>
          <w:pgNumType w:fmt="numberInDash"/>
          <w:cols w:space="720" w:num="1"/>
        </w:sectPr>
      </w:pPr>
      <w:r>
        <w:rPr>
          <w:rFonts w:hint="eastAsia" w:ascii="仿宋_GB2312" w:hAnsi="仿宋_GB2312" w:eastAsia="仿宋_GB2312" w:cs="仿宋_GB2312"/>
          <w:sz w:val="32"/>
          <w:szCs w:val="32"/>
          <w:highlight w:val="none"/>
          <w:u w:val="none"/>
        </w:rPr>
        <w:t xml:space="preserve">联系人： </w:t>
      </w:r>
      <w:r>
        <w:rPr>
          <w:rFonts w:hint="eastAsia" w:ascii="仿宋_GB2312" w:hAnsi="仿宋_GB2312" w:eastAsia="仿宋_GB2312" w:cs="仿宋_GB2312"/>
          <w:sz w:val="32"/>
          <w:szCs w:val="32"/>
          <w:highlight w:val="none"/>
          <w:u w:val="none"/>
          <w:lang w:val="en-US" w:eastAsia="zh-CN"/>
        </w:rPr>
        <w:t>庞凯璐</w:t>
      </w:r>
      <w:r>
        <w:rPr>
          <w:rFonts w:hint="eastAsia" w:ascii="仿宋_GB2312" w:hAnsi="仿宋_GB2312" w:eastAsia="仿宋_GB2312" w:cs="仿宋_GB2312"/>
          <w:sz w:val="32"/>
          <w:szCs w:val="32"/>
          <w:highlight w:val="none"/>
          <w:u w:val="none"/>
        </w:rPr>
        <w:t xml:space="preserve">           联系电话：</w:t>
      </w:r>
      <w:r>
        <w:rPr>
          <w:rFonts w:hint="eastAsia" w:ascii="仿宋_GB2312" w:hAnsi="仿宋_GB2312" w:eastAsia="仿宋_GB2312" w:cs="仿宋_GB2312"/>
          <w:sz w:val="32"/>
          <w:szCs w:val="32"/>
          <w:highlight w:val="none"/>
          <w:u w:val="none"/>
          <w:lang w:val="en-US" w:eastAsia="zh-CN"/>
        </w:rPr>
        <w:t>18698460921</w:t>
      </w:r>
    </w:p>
    <w:p w14:paraId="2B752E10">
      <w:pPr>
        <w:pStyle w:val="3"/>
        <w:tabs>
          <w:tab w:val="left" w:pos="4392"/>
        </w:tabs>
        <w:adjustRightInd/>
        <w:snapToGrid/>
        <w:spacing w:before="0" w:after="0" w:line="600" w:lineRule="exact"/>
        <w:ind w:firstLine="0" w:firstLineChars="0"/>
        <w:jc w:val="center"/>
        <w:rPr>
          <w:rFonts w:ascii="方正小标宋简体" w:hAnsi="方正小标宋简体" w:eastAsia="方正小标宋简体" w:cs="方正小标宋简体"/>
          <w:b w:val="0"/>
          <w:bCs w:val="0"/>
          <w:sz w:val="36"/>
          <w:szCs w:val="36"/>
          <w:highlight w:val="none"/>
          <w:u w:val="none"/>
        </w:rPr>
      </w:pPr>
      <w:r>
        <w:rPr>
          <w:rFonts w:hint="eastAsia" w:ascii="方正小标宋简体" w:hAnsi="方正小标宋简体" w:eastAsia="方正小标宋简体" w:cs="方正小标宋简体"/>
          <w:b w:val="0"/>
          <w:bCs w:val="0"/>
          <w:sz w:val="36"/>
          <w:szCs w:val="36"/>
          <w:highlight w:val="none"/>
          <w:u w:val="none"/>
        </w:rPr>
        <w:t>第</w:t>
      </w:r>
      <w:r>
        <w:rPr>
          <w:rFonts w:hint="eastAsia" w:ascii="方正小标宋简体" w:hAnsi="方正小标宋简体" w:eastAsia="方正小标宋简体" w:cs="方正小标宋简体"/>
          <w:b w:val="0"/>
          <w:bCs w:val="0"/>
          <w:sz w:val="36"/>
          <w:szCs w:val="36"/>
          <w:highlight w:val="none"/>
          <w:u w:val="none"/>
          <w:lang w:val="en-US" w:eastAsia="zh-CN"/>
        </w:rPr>
        <w:t>五</w:t>
      </w:r>
      <w:r>
        <w:rPr>
          <w:rFonts w:hint="eastAsia" w:ascii="方正小标宋简体" w:hAnsi="方正小标宋简体" w:eastAsia="方正小标宋简体" w:cs="方正小标宋简体"/>
          <w:b w:val="0"/>
          <w:bCs w:val="0"/>
          <w:sz w:val="36"/>
          <w:szCs w:val="36"/>
          <w:highlight w:val="none"/>
          <w:u w:val="none"/>
        </w:rPr>
        <w:t>部分</w:t>
      </w:r>
      <w:r>
        <w:rPr>
          <w:rFonts w:hint="eastAsia" w:ascii="方正小标宋简体" w:hAnsi="方正小标宋简体" w:eastAsia="方正小标宋简体" w:cs="方正小标宋简体"/>
          <w:b w:val="0"/>
          <w:bCs w:val="0"/>
          <w:sz w:val="36"/>
          <w:szCs w:val="36"/>
          <w:highlight w:val="none"/>
          <w:u w:val="none"/>
          <w:lang w:val="en-US" w:eastAsia="zh-CN"/>
        </w:rPr>
        <w:t xml:space="preserve">  </w:t>
      </w:r>
      <w:r>
        <w:rPr>
          <w:rFonts w:hint="eastAsia" w:ascii="方正小标宋简体" w:hAnsi="方正小标宋简体" w:eastAsia="方正小标宋简体" w:cs="方正小标宋简体"/>
          <w:b w:val="0"/>
          <w:bCs w:val="0"/>
          <w:sz w:val="36"/>
          <w:szCs w:val="36"/>
          <w:highlight w:val="none"/>
          <w:u w:val="none"/>
        </w:rPr>
        <w:t>202</w:t>
      </w:r>
      <w:r>
        <w:rPr>
          <w:rFonts w:hint="eastAsia" w:ascii="方正小标宋简体" w:hAnsi="方正小标宋简体" w:eastAsia="方正小标宋简体" w:cs="方正小标宋简体"/>
          <w:b w:val="0"/>
          <w:bCs w:val="0"/>
          <w:sz w:val="36"/>
          <w:szCs w:val="36"/>
          <w:highlight w:val="none"/>
          <w:u w:val="none"/>
          <w:lang w:val="en-US" w:eastAsia="zh-CN"/>
        </w:rPr>
        <w:t>6</w:t>
      </w:r>
      <w:r>
        <w:rPr>
          <w:rFonts w:hint="eastAsia" w:ascii="方正小标宋简体" w:hAnsi="方正小标宋简体" w:eastAsia="方正小标宋简体" w:cs="方正小标宋简体"/>
          <w:b w:val="0"/>
          <w:bCs w:val="0"/>
          <w:sz w:val="36"/>
          <w:szCs w:val="36"/>
          <w:highlight w:val="none"/>
          <w:u w:val="none"/>
        </w:rPr>
        <w:t xml:space="preserve"> 部门预算公开表</w:t>
      </w:r>
    </w:p>
    <w:p w14:paraId="456E86A5">
      <w:pPr>
        <w:pStyle w:val="18"/>
        <w:ind w:left="0" w:leftChars="0" w:firstLine="0"/>
        <w:rPr>
          <w:rFonts w:hint="default"/>
          <w:highlight w:val="none"/>
          <w:u w:val="none"/>
        </w:rPr>
      </w:pPr>
    </w:p>
    <w:sectPr>
      <w:footerReference r:id="rId5" w:type="default"/>
      <w:pgSz w:w="11906" w:h="16838"/>
      <w:pgMar w:top="1440" w:right="1800" w:bottom="1440" w:left="1800"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2AA0538F-240A-4403-A5EA-1DB8A4113C87}"/>
  </w:font>
  <w:font w:name="黑体">
    <w:panose1 w:val="02010609060101010101"/>
    <w:charset w:val="86"/>
    <w:family w:val="auto"/>
    <w:pitch w:val="default"/>
    <w:sig w:usb0="800002BF" w:usb1="38CF7CFA" w:usb2="00000016" w:usb3="00000000" w:csb0="00040001" w:csb1="00000000"/>
    <w:embedRegular r:id="rId2" w:fontKey="{62965871-F94F-41E1-A4B4-498379F11FB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embedRegular r:id="rId3" w:fontKey="{E5DB1743-1A32-4468-8DCA-FA972006138D}"/>
  </w:font>
  <w:font w:name="Calibri">
    <w:panose1 w:val="020F05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embedRegular r:id="rId4" w:fontKey="{8E91E03B-FCC3-4503-B0A5-BB6FE243FABE}"/>
  </w:font>
  <w:font w:name="等线">
    <w:panose1 w:val="02010600030101010101"/>
    <w:charset w:val="86"/>
    <w:family w:val="auto"/>
    <w:pitch w:val="default"/>
    <w:sig w:usb0="A00002BF" w:usb1="38CF7CFA" w:usb2="00000016" w:usb3="00000000" w:csb0="0004000F" w:csb1="00000000"/>
  </w:font>
  <w:font w:name="Helvetica">
    <w:altName w:val="Arial"/>
    <w:panose1 w:val="020B0604020202020204"/>
    <w:charset w:val="00"/>
    <w:family w:val="swiss"/>
    <w:pitch w:val="default"/>
    <w:sig w:usb0="00000000" w:usb1="00000000" w:usb2="00000009" w:usb3="00000000" w:csb0="000001FF" w:csb1="00000000"/>
  </w:font>
  <w:font w:name="Courier">
    <w:altName w:val="Courier New"/>
    <w:panose1 w:val="02070409020205020404"/>
    <w:charset w:val="00"/>
    <w:family w:val="modern"/>
    <w:pitch w:val="default"/>
    <w:sig w:usb0="00000000" w:usb1="00000000" w:usb2="00000000" w:usb3="00000000" w:csb0="00000001" w:csb1="00000000"/>
  </w:font>
  <w:font w:name="Tms Rmn">
    <w:altName w:val="Segoe Print"/>
    <w:panose1 w:val="02020603040505020304"/>
    <w:charset w:val="00"/>
    <w:family w:val="roman"/>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Helv">
    <w:altName w:val="Segoe Print"/>
    <w:panose1 w:val="020B0604020202030204"/>
    <w:charset w:val="00"/>
    <w:family w:val="swiss"/>
    <w:pitch w:val="default"/>
    <w:sig w:usb0="00000000" w:usb1="00000000" w:usb2="00000000" w:usb3="00000000" w:csb0="00000001" w:csb1="00000000"/>
  </w:font>
  <w:font w:name="New York">
    <w:altName w:val="Times New Roman"/>
    <w:panose1 w:val="02040503060506020304"/>
    <w:charset w:val="00"/>
    <w:family w:val="roman"/>
    <w:pitch w:val="default"/>
    <w:sig w:usb0="00000000" w:usb1="00000000" w:usb2="00000000" w:usb3="00000000" w:csb0="00000001" w:csb1="00000000"/>
  </w:font>
  <w:font w:name="Arial Unicode MS">
    <w:altName w:val="宋体"/>
    <w:panose1 w:val="020B0604020202020204"/>
    <w:charset w:val="86"/>
    <w:family w:val="swiss"/>
    <w:pitch w:val="default"/>
    <w:sig w:usb0="00000000" w:usb1="00000000" w:usb2="0000003F" w:usb3="00000000" w:csb0="603F01FF" w:csb1="FFFF0000"/>
  </w:font>
  <w:font w:name="方正小标宋简体">
    <w:panose1 w:val="02000000000000000000"/>
    <w:charset w:val="86"/>
    <w:family w:val="auto"/>
    <w:pitch w:val="default"/>
    <w:sig w:usb0="00000001" w:usb1="08000000" w:usb2="00000000" w:usb3="00000000" w:csb0="00040000" w:csb1="00000000"/>
    <w:embedRegular r:id="rId5" w:fontKey="{68CFBF0F-9854-49A8-8C7E-F705DF088064}"/>
  </w:font>
  <w:font w:name="仿宋">
    <w:panose1 w:val="02010609060101010101"/>
    <w:charset w:val="86"/>
    <w:family w:val="modern"/>
    <w:pitch w:val="default"/>
    <w:sig w:usb0="800002BF" w:usb1="38CF7CFA" w:usb2="00000016" w:usb3="00000000" w:csb0="00040001" w:csb1="00000000"/>
    <w:embedRegular r:id="rId6" w:fontKey="{4C96DE60-08B5-48DA-B746-E37F17F5116C}"/>
  </w:font>
  <w:font w:name="楷体">
    <w:panose1 w:val="02010609060101010101"/>
    <w:charset w:val="86"/>
    <w:family w:val="modern"/>
    <w:pitch w:val="default"/>
    <w:sig w:usb0="800002BF" w:usb1="38CF7CFA" w:usb2="00000016" w:usb3="00000000" w:csb0="00040001" w:csb1="00000000"/>
    <w:embedRegular r:id="rId7" w:fontKey="{33A46B82-C00E-4279-8B5B-5A8FBDB36CFD}"/>
  </w:font>
  <w:font w:name="WPSEMBED1">
    <w:panose1 w:val="02010609030101010101"/>
    <w:charset w:val="86"/>
    <w:family w:val="auto"/>
    <w:pitch w:val="default"/>
    <w:sig w:usb0="00000001" w:usb1="080E0000" w:usb2="00000000" w:usb3="00000000" w:csb0="00040000" w:csb1="00000000"/>
  </w:font>
  <w:font w:name="仿宋_GB2312">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6CB3C8">
    <w:pPr>
      <w:pStyle w:val="12"/>
      <w:jc w:val="center"/>
    </w:pPr>
    <w:r>
      <mc:AlternateContent>
        <mc:Choice Requires="wps">
          <w:drawing>
            <wp:anchor distT="0" distB="0" distL="114300" distR="114300" simplePos="0" relativeHeight="251659264" behindDoc="0" locked="0" layoutInCell="1" allowOverlap="1">
              <wp:simplePos x="0" y="0"/>
              <wp:positionH relativeFrom="margin">
                <wp:posOffset>2600960</wp:posOffset>
              </wp:positionH>
              <wp:positionV relativeFrom="paragraph">
                <wp:posOffset>17780</wp:posOffset>
              </wp:positionV>
              <wp:extent cx="795655" cy="351790"/>
              <wp:effectExtent l="0" t="0" r="0" b="0"/>
              <wp:wrapNone/>
              <wp:docPr id="1" name="文本框 1"/>
              <wp:cNvGraphicFramePr/>
              <a:graphic xmlns:a="http://schemas.openxmlformats.org/drawingml/2006/main">
                <a:graphicData uri="http://schemas.microsoft.com/office/word/2010/wordprocessingShape">
                  <wps:wsp>
                    <wps:cNvSpPr txBox="1"/>
                    <wps:spPr>
                      <a:xfrm>
                        <a:off x="0" y="0"/>
                        <a:ext cx="795655" cy="3517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0E520AF">
                          <w:pPr>
                            <w:pStyle w:val="12"/>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sz w:val="24"/>
                              <w:szCs w:val="24"/>
                            </w:rPr>
                            <w:t>- 4 -</w:t>
                          </w:r>
                          <w:r>
                            <w:rPr>
                              <w:sz w:val="24"/>
                              <w:szCs w:val="24"/>
                            </w:rPr>
                            <w:fldChar w:fldCharType="end"/>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204.8pt;margin-top:1.4pt;height:27.7pt;width:62.65pt;mso-position-horizontal-relative:margin;z-index:251659264;mso-width-relative:page;mso-height-relative:page;" filled="f" stroked="f" coordsize="21600,21600" o:gfxdata="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Ape6y7XAAAACAEAAA8AAAAAAAAAAQAgAAAAIgAAAGRycy9kb3ducmV2LnhtbFBL&#10;AQIUABQAAAAIAIdO4kDr0pWXMAIAAFUEAAAOAAAAAAAAAAEAIAAAACYBAABkcnMvZTJvRG9jLnht&#10;bFBLBQYAAAAABgAGAFkBAADIBQAAAAA=&#10;">
              <v:fill on="f" focussize="0,0"/>
              <v:stroke on="f" weight="0.5pt"/>
              <v:imagedata o:title=""/>
              <o:lock v:ext="edit" aspectratio="f"/>
              <v:textbox inset="0mm,0mm,0mm,0mm">
                <w:txbxContent>
                  <w:p w14:paraId="20E520AF">
                    <w:pPr>
                      <w:pStyle w:val="12"/>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sz w:val="24"/>
                        <w:szCs w:val="24"/>
                      </w:rPr>
                      <w:t>- 4 -</w:t>
                    </w:r>
                    <w:r>
                      <w:rPr>
                        <w:sz w:val="24"/>
                        <w:szCs w:val="24"/>
                      </w:rPr>
                      <w:fldChar w:fldCharType="end"/>
                    </w:r>
                  </w:p>
                </w:txbxContent>
              </v:textbox>
            </v:shape>
          </w:pict>
        </mc:Fallback>
      </mc:AlternateContent>
    </w:r>
  </w:p>
  <w:p w14:paraId="42C432C9">
    <w:pPr>
      <w:pStyle w:val="1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2BDED2">
    <w:pPr>
      <w:pStyle w:val="12"/>
      <w:jc w:val="center"/>
    </w:pPr>
  </w:p>
  <w:p w14:paraId="70D6F4B0">
    <w:pPr>
      <w:pStyle w:val="1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750176">
    <w:pPr>
      <w:ind w:left="6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B02A579"/>
    <w:multiLevelType w:val="singleLevel"/>
    <w:tmpl w:val="BB02A579"/>
    <w:lvl w:ilvl="0" w:tentative="0">
      <w:start w:val="1"/>
      <w:numFmt w:val="decimal"/>
      <w:suff w:val="nothing"/>
      <w:lvlText w:val="%1．"/>
      <w:lvlJc w:val="left"/>
      <w:pPr>
        <w:ind w:left="-10"/>
      </w:pPr>
      <w:rPr>
        <w:rFonts w:hint="default"/>
        <w:b w:val="0"/>
        <w:bCs w:val="0"/>
      </w:rPr>
    </w:lvl>
  </w:abstractNum>
  <w:abstractNum w:abstractNumId="1">
    <w:nsid w:val="3265B7C3"/>
    <w:multiLevelType w:val="singleLevel"/>
    <w:tmpl w:val="3265B7C3"/>
    <w:lvl w:ilvl="0" w:tentative="0">
      <w:start w:val="1"/>
      <w:numFmt w:val="chineseCounting"/>
      <w:suff w:val="nothing"/>
      <w:lvlText w:val="%1、"/>
      <w:lvlJc w:val="left"/>
      <w:rPr>
        <w:rFonts w:hint="eastAsia"/>
      </w:rPr>
    </w:lvl>
  </w:abstractNum>
  <w:abstractNum w:abstractNumId="2">
    <w:nsid w:val="51BB1927"/>
    <w:multiLevelType w:val="singleLevel"/>
    <w:tmpl w:val="51BB1927"/>
    <w:lvl w:ilvl="0" w:tentative="0">
      <w:start w:val="1"/>
      <w:numFmt w:val="decimal"/>
      <w:lvlText w:val="%1."/>
      <w:lvlJc w:val="left"/>
      <w:pPr>
        <w:tabs>
          <w:tab w:val="left" w:pos="312"/>
        </w:tabs>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UyZTZiOWNhNTRkM2JiNDQwZWRmZDZjZTIwNDhiY2IifQ=="/>
  </w:docVars>
  <w:rsids>
    <w:rsidRoot w:val="00172A27"/>
    <w:rsid w:val="00000CBF"/>
    <w:rsid w:val="000034CD"/>
    <w:rsid w:val="00003B87"/>
    <w:rsid w:val="000106AF"/>
    <w:rsid w:val="00010F09"/>
    <w:rsid w:val="00010F57"/>
    <w:rsid w:val="00014729"/>
    <w:rsid w:val="000168E2"/>
    <w:rsid w:val="00016E30"/>
    <w:rsid w:val="0001778D"/>
    <w:rsid w:val="00023930"/>
    <w:rsid w:val="0002537D"/>
    <w:rsid w:val="000267C9"/>
    <w:rsid w:val="000316D6"/>
    <w:rsid w:val="00034C3D"/>
    <w:rsid w:val="00035935"/>
    <w:rsid w:val="00035BD9"/>
    <w:rsid w:val="00037650"/>
    <w:rsid w:val="000408B3"/>
    <w:rsid w:val="000409C6"/>
    <w:rsid w:val="00040A7B"/>
    <w:rsid w:val="0004437D"/>
    <w:rsid w:val="00044D5A"/>
    <w:rsid w:val="00047F92"/>
    <w:rsid w:val="000517C8"/>
    <w:rsid w:val="00052722"/>
    <w:rsid w:val="00052AB3"/>
    <w:rsid w:val="000530B5"/>
    <w:rsid w:val="000547DF"/>
    <w:rsid w:val="00056E21"/>
    <w:rsid w:val="00063642"/>
    <w:rsid w:val="00065474"/>
    <w:rsid w:val="00071596"/>
    <w:rsid w:val="00073EED"/>
    <w:rsid w:val="00080B1C"/>
    <w:rsid w:val="00082025"/>
    <w:rsid w:val="000843F5"/>
    <w:rsid w:val="00084B87"/>
    <w:rsid w:val="00084C61"/>
    <w:rsid w:val="00084EE5"/>
    <w:rsid w:val="00085C93"/>
    <w:rsid w:val="00087A5E"/>
    <w:rsid w:val="00090945"/>
    <w:rsid w:val="00094212"/>
    <w:rsid w:val="00094289"/>
    <w:rsid w:val="00094579"/>
    <w:rsid w:val="0009486F"/>
    <w:rsid w:val="00097AD5"/>
    <w:rsid w:val="00097E70"/>
    <w:rsid w:val="000A3463"/>
    <w:rsid w:val="000A3CBA"/>
    <w:rsid w:val="000B179A"/>
    <w:rsid w:val="000B19DD"/>
    <w:rsid w:val="000B271C"/>
    <w:rsid w:val="000B3090"/>
    <w:rsid w:val="000B395D"/>
    <w:rsid w:val="000B4C87"/>
    <w:rsid w:val="000B5E2F"/>
    <w:rsid w:val="000B75C9"/>
    <w:rsid w:val="000C2547"/>
    <w:rsid w:val="000C2657"/>
    <w:rsid w:val="000C3B4A"/>
    <w:rsid w:val="000C7570"/>
    <w:rsid w:val="000D1A18"/>
    <w:rsid w:val="000D4710"/>
    <w:rsid w:val="000E093A"/>
    <w:rsid w:val="000E597B"/>
    <w:rsid w:val="000E63BF"/>
    <w:rsid w:val="000F0BD4"/>
    <w:rsid w:val="000F344F"/>
    <w:rsid w:val="000F6C2D"/>
    <w:rsid w:val="000F7468"/>
    <w:rsid w:val="000F746A"/>
    <w:rsid w:val="00102140"/>
    <w:rsid w:val="00106E16"/>
    <w:rsid w:val="001114EC"/>
    <w:rsid w:val="00112A96"/>
    <w:rsid w:val="001133DF"/>
    <w:rsid w:val="00114F9E"/>
    <w:rsid w:val="001151B8"/>
    <w:rsid w:val="00122854"/>
    <w:rsid w:val="00122B22"/>
    <w:rsid w:val="00123EEA"/>
    <w:rsid w:val="00126508"/>
    <w:rsid w:val="001329DF"/>
    <w:rsid w:val="001342A7"/>
    <w:rsid w:val="00142E3E"/>
    <w:rsid w:val="001432CD"/>
    <w:rsid w:val="0014381D"/>
    <w:rsid w:val="0014464F"/>
    <w:rsid w:val="00152205"/>
    <w:rsid w:val="00153AFD"/>
    <w:rsid w:val="00155332"/>
    <w:rsid w:val="00155E13"/>
    <w:rsid w:val="00157214"/>
    <w:rsid w:val="001602D6"/>
    <w:rsid w:val="00163244"/>
    <w:rsid w:val="00163F67"/>
    <w:rsid w:val="00172A27"/>
    <w:rsid w:val="001735FD"/>
    <w:rsid w:val="001738CA"/>
    <w:rsid w:val="00175368"/>
    <w:rsid w:val="001802D6"/>
    <w:rsid w:val="00183BED"/>
    <w:rsid w:val="00191536"/>
    <w:rsid w:val="00193879"/>
    <w:rsid w:val="001940E1"/>
    <w:rsid w:val="00196BA0"/>
    <w:rsid w:val="0019719A"/>
    <w:rsid w:val="001A02B5"/>
    <w:rsid w:val="001A1BDF"/>
    <w:rsid w:val="001A2F89"/>
    <w:rsid w:val="001A3158"/>
    <w:rsid w:val="001A3CE2"/>
    <w:rsid w:val="001A5241"/>
    <w:rsid w:val="001B012D"/>
    <w:rsid w:val="001B0DDF"/>
    <w:rsid w:val="001B1449"/>
    <w:rsid w:val="001B3621"/>
    <w:rsid w:val="001B4457"/>
    <w:rsid w:val="001B5368"/>
    <w:rsid w:val="001B5886"/>
    <w:rsid w:val="001B5EC9"/>
    <w:rsid w:val="001B7FCD"/>
    <w:rsid w:val="001C0CDF"/>
    <w:rsid w:val="001C4010"/>
    <w:rsid w:val="001C6BF1"/>
    <w:rsid w:val="001D3C7E"/>
    <w:rsid w:val="001D6D0B"/>
    <w:rsid w:val="001D7958"/>
    <w:rsid w:val="001E0433"/>
    <w:rsid w:val="001E3429"/>
    <w:rsid w:val="001E68D8"/>
    <w:rsid w:val="001E76DB"/>
    <w:rsid w:val="001F4C1E"/>
    <w:rsid w:val="001F6B7A"/>
    <w:rsid w:val="00200204"/>
    <w:rsid w:val="002015D3"/>
    <w:rsid w:val="002039F1"/>
    <w:rsid w:val="002044DF"/>
    <w:rsid w:val="002049F7"/>
    <w:rsid w:val="0021312E"/>
    <w:rsid w:val="0021383F"/>
    <w:rsid w:val="00214BEE"/>
    <w:rsid w:val="0021585B"/>
    <w:rsid w:val="0021600A"/>
    <w:rsid w:val="0021726C"/>
    <w:rsid w:val="00217770"/>
    <w:rsid w:val="00220C2A"/>
    <w:rsid w:val="00221E65"/>
    <w:rsid w:val="002240B1"/>
    <w:rsid w:val="0022415F"/>
    <w:rsid w:val="00224835"/>
    <w:rsid w:val="00224F3D"/>
    <w:rsid w:val="00225C23"/>
    <w:rsid w:val="00233D9B"/>
    <w:rsid w:val="00236FA6"/>
    <w:rsid w:val="00240094"/>
    <w:rsid w:val="00241B6B"/>
    <w:rsid w:val="002431E6"/>
    <w:rsid w:val="0024416D"/>
    <w:rsid w:val="00244B90"/>
    <w:rsid w:val="00245FFD"/>
    <w:rsid w:val="0025052F"/>
    <w:rsid w:val="0025133B"/>
    <w:rsid w:val="002519F2"/>
    <w:rsid w:val="00251E52"/>
    <w:rsid w:val="00252024"/>
    <w:rsid w:val="00252295"/>
    <w:rsid w:val="002604EC"/>
    <w:rsid w:val="0026390E"/>
    <w:rsid w:val="00266811"/>
    <w:rsid w:val="002670EA"/>
    <w:rsid w:val="00270D49"/>
    <w:rsid w:val="002742F8"/>
    <w:rsid w:val="002748BD"/>
    <w:rsid w:val="00274A4D"/>
    <w:rsid w:val="00274E33"/>
    <w:rsid w:val="00286355"/>
    <w:rsid w:val="00286B1A"/>
    <w:rsid w:val="00287D92"/>
    <w:rsid w:val="00290958"/>
    <w:rsid w:val="00291FC4"/>
    <w:rsid w:val="002926AE"/>
    <w:rsid w:val="00293A42"/>
    <w:rsid w:val="00293F3B"/>
    <w:rsid w:val="00294D1F"/>
    <w:rsid w:val="002A25F0"/>
    <w:rsid w:val="002A38DC"/>
    <w:rsid w:val="002A3F94"/>
    <w:rsid w:val="002A4CC2"/>
    <w:rsid w:val="002B0E96"/>
    <w:rsid w:val="002B21CC"/>
    <w:rsid w:val="002B3658"/>
    <w:rsid w:val="002B37C5"/>
    <w:rsid w:val="002B7E88"/>
    <w:rsid w:val="002D028A"/>
    <w:rsid w:val="002D27EE"/>
    <w:rsid w:val="002D2D64"/>
    <w:rsid w:val="002D3180"/>
    <w:rsid w:val="002D4EA7"/>
    <w:rsid w:val="002D6124"/>
    <w:rsid w:val="002D6167"/>
    <w:rsid w:val="002D70B8"/>
    <w:rsid w:val="002D7791"/>
    <w:rsid w:val="002D7AEB"/>
    <w:rsid w:val="002D7FE5"/>
    <w:rsid w:val="002F0AEA"/>
    <w:rsid w:val="002F0CEB"/>
    <w:rsid w:val="002F1022"/>
    <w:rsid w:val="002F2712"/>
    <w:rsid w:val="002F73C2"/>
    <w:rsid w:val="002F7AA1"/>
    <w:rsid w:val="0030209D"/>
    <w:rsid w:val="00304A27"/>
    <w:rsid w:val="0030703E"/>
    <w:rsid w:val="00307477"/>
    <w:rsid w:val="003115CC"/>
    <w:rsid w:val="00313750"/>
    <w:rsid w:val="00316EA0"/>
    <w:rsid w:val="00321A3C"/>
    <w:rsid w:val="0033160F"/>
    <w:rsid w:val="00331DB0"/>
    <w:rsid w:val="003337F4"/>
    <w:rsid w:val="00335EEB"/>
    <w:rsid w:val="00337D32"/>
    <w:rsid w:val="003406D1"/>
    <w:rsid w:val="0034673B"/>
    <w:rsid w:val="00351751"/>
    <w:rsid w:val="00351CBC"/>
    <w:rsid w:val="00352172"/>
    <w:rsid w:val="00355342"/>
    <w:rsid w:val="00356692"/>
    <w:rsid w:val="00356F2E"/>
    <w:rsid w:val="003575C9"/>
    <w:rsid w:val="0036025D"/>
    <w:rsid w:val="00361339"/>
    <w:rsid w:val="003617B4"/>
    <w:rsid w:val="003631E0"/>
    <w:rsid w:val="003655C7"/>
    <w:rsid w:val="003666F6"/>
    <w:rsid w:val="00367F5C"/>
    <w:rsid w:val="00367FEB"/>
    <w:rsid w:val="00370C21"/>
    <w:rsid w:val="0037119D"/>
    <w:rsid w:val="00371460"/>
    <w:rsid w:val="00371E38"/>
    <w:rsid w:val="00374C99"/>
    <w:rsid w:val="00374EC2"/>
    <w:rsid w:val="00375717"/>
    <w:rsid w:val="00377F83"/>
    <w:rsid w:val="00385C9F"/>
    <w:rsid w:val="00385D9C"/>
    <w:rsid w:val="00386A78"/>
    <w:rsid w:val="00387B4F"/>
    <w:rsid w:val="00387FDC"/>
    <w:rsid w:val="003900E4"/>
    <w:rsid w:val="003908AD"/>
    <w:rsid w:val="003944BB"/>
    <w:rsid w:val="003945B5"/>
    <w:rsid w:val="00394D62"/>
    <w:rsid w:val="00395D0B"/>
    <w:rsid w:val="00397362"/>
    <w:rsid w:val="003A003A"/>
    <w:rsid w:val="003A1185"/>
    <w:rsid w:val="003A3E3C"/>
    <w:rsid w:val="003A3F4A"/>
    <w:rsid w:val="003A4972"/>
    <w:rsid w:val="003B4A14"/>
    <w:rsid w:val="003B5570"/>
    <w:rsid w:val="003B77B6"/>
    <w:rsid w:val="003C31AB"/>
    <w:rsid w:val="003C35CD"/>
    <w:rsid w:val="003C43EA"/>
    <w:rsid w:val="003C4F65"/>
    <w:rsid w:val="003C53D2"/>
    <w:rsid w:val="003C7866"/>
    <w:rsid w:val="003D0971"/>
    <w:rsid w:val="003D3C90"/>
    <w:rsid w:val="003D5CBF"/>
    <w:rsid w:val="003E02C3"/>
    <w:rsid w:val="003E18C9"/>
    <w:rsid w:val="003F567D"/>
    <w:rsid w:val="003F7782"/>
    <w:rsid w:val="00400588"/>
    <w:rsid w:val="00406AC9"/>
    <w:rsid w:val="0041073B"/>
    <w:rsid w:val="0041167C"/>
    <w:rsid w:val="004138A8"/>
    <w:rsid w:val="0041426C"/>
    <w:rsid w:val="00416FDF"/>
    <w:rsid w:val="00417B37"/>
    <w:rsid w:val="0042054B"/>
    <w:rsid w:val="00420D95"/>
    <w:rsid w:val="004253B8"/>
    <w:rsid w:val="00425ED7"/>
    <w:rsid w:val="00426740"/>
    <w:rsid w:val="00427C2F"/>
    <w:rsid w:val="0043128C"/>
    <w:rsid w:val="00434D44"/>
    <w:rsid w:val="0044228B"/>
    <w:rsid w:val="00442688"/>
    <w:rsid w:val="00442AED"/>
    <w:rsid w:val="00442D5D"/>
    <w:rsid w:val="00444B82"/>
    <w:rsid w:val="004459F0"/>
    <w:rsid w:val="00454633"/>
    <w:rsid w:val="00454737"/>
    <w:rsid w:val="00455BF8"/>
    <w:rsid w:val="00456DB3"/>
    <w:rsid w:val="00456EAD"/>
    <w:rsid w:val="004604FE"/>
    <w:rsid w:val="004611A8"/>
    <w:rsid w:val="00467117"/>
    <w:rsid w:val="00467D70"/>
    <w:rsid w:val="00467DC5"/>
    <w:rsid w:val="004702DB"/>
    <w:rsid w:val="00470C8E"/>
    <w:rsid w:val="00473D33"/>
    <w:rsid w:val="004769DB"/>
    <w:rsid w:val="00481EB5"/>
    <w:rsid w:val="00482B89"/>
    <w:rsid w:val="004833E7"/>
    <w:rsid w:val="00483401"/>
    <w:rsid w:val="00491B17"/>
    <w:rsid w:val="004931F8"/>
    <w:rsid w:val="00494023"/>
    <w:rsid w:val="004967F7"/>
    <w:rsid w:val="00497241"/>
    <w:rsid w:val="004A1F81"/>
    <w:rsid w:val="004A20B6"/>
    <w:rsid w:val="004A2789"/>
    <w:rsid w:val="004A2DF3"/>
    <w:rsid w:val="004A2FCA"/>
    <w:rsid w:val="004A3875"/>
    <w:rsid w:val="004A7AF4"/>
    <w:rsid w:val="004B048E"/>
    <w:rsid w:val="004B143B"/>
    <w:rsid w:val="004B174D"/>
    <w:rsid w:val="004B5933"/>
    <w:rsid w:val="004C500C"/>
    <w:rsid w:val="004C5FFC"/>
    <w:rsid w:val="004C74F7"/>
    <w:rsid w:val="004D1253"/>
    <w:rsid w:val="004D158E"/>
    <w:rsid w:val="004D2861"/>
    <w:rsid w:val="004D5666"/>
    <w:rsid w:val="004D6BB1"/>
    <w:rsid w:val="004D7A03"/>
    <w:rsid w:val="004D7DBF"/>
    <w:rsid w:val="004E0454"/>
    <w:rsid w:val="004E06ED"/>
    <w:rsid w:val="004E1457"/>
    <w:rsid w:val="004E4A43"/>
    <w:rsid w:val="004E4BBF"/>
    <w:rsid w:val="004F2CDD"/>
    <w:rsid w:val="004F4D87"/>
    <w:rsid w:val="004F55CD"/>
    <w:rsid w:val="004F58A0"/>
    <w:rsid w:val="004F5F12"/>
    <w:rsid w:val="004F6692"/>
    <w:rsid w:val="004F77B0"/>
    <w:rsid w:val="00501EEF"/>
    <w:rsid w:val="00502A31"/>
    <w:rsid w:val="00505021"/>
    <w:rsid w:val="00506790"/>
    <w:rsid w:val="00510EFF"/>
    <w:rsid w:val="00511717"/>
    <w:rsid w:val="00511B53"/>
    <w:rsid w:val="005146EE"/>
    <w:rsid w:val="005160E3"/>
    <w:rsid w:val="005161E3"/>
    <w:rsid w:val="00516B40"/>
    <w:rsid w:val="005203F0"/>
    <w:rsid w:val="00521E09"/>
    <w:rsid w:val="00525EB0"/>
    <w:rsid w:val="00535551"/>
    <w:rsid w:val="0053664B"/>
    <w:rsid w:val="00540718"/>
    <w:rsid w:val="00540B71"/>
    <w:rsid w:val="00541F46"/>
    <w:rsid w:val="0054292B"/>
    <w:rsid w:val="005440BF"/>
    <w:rsid w:val="0054661A"/>
    <w:rsid w:val="005510D1"/>
    <w:rsid w:val="00552574"/>
    <w:rsid w:val="00554DCA"/>
    <w:rsid w:val="00556C59"/>
    <w:rsid w:val="00557E0E"/>
    <w:rsid w:val="005604D0"/>
    <w:rsid w:val="005614CC"/>
    <w:rsid w:val="005615F3"/>
    <w:rsid w:val="0056225D"/>
    <w:rsid w:val="00562E92"/>
    <w:rsid w:val="005639FA"/>
    <w:rsid w:val="0056420B"/>
    <w:rsid w:val="00564ABA"/>
    <w:rsid w:val="005653F5"/>
    <w:rsid w:val="00571BB6"/>
    <w:rsid w:val="00572A14"/>
    <w:rsid w:val="0057572A"/>
    <w:rsid w:val="00576A02"/>
    <w:rsid w:val="0058236D"/>
    <w:rsid w:val="00582BA2"/>
    <w:rsid w:val="00583D19"/>
    <w:rsid w:val="0058789A"/>
    <w:rsid w:val="00593F60"/>
    <w:rsid w:val="00594E72"/>
    <w:rsid w:val="00594E89"/>
    <w:rsid w:val="00595732"/>
    <w:rsid w:val="005957A8"/>
    <w:rsid w:val="005A0020"/>
    <w:rsid w:val="005A0592"/>
    <w:rsid w:val="005A09E0"/>
    <w:rsid w:val="005A1BC7"/>
    <w:rsid w:val="005A7383"/>
    <w:rsid w:val="005B155E"/>
    <w:rsid w:val="005B1651"/>
    <w:rsid w:val="005B1D05"/>
    <w:rsid w:val="005B544A"/>
    <w:rsid w:val="005B570B"/>
    <w:rsid w:val="005B5DBA"/>
    <w:rsid w:val="005B5ECD"/>
    <w:rsid w:val="005C5D3B"/>
    <w:rsid w:val="005C773C"/>
    <w:rsid w:val="005D2118"/>
    <w:rsid w:val="005D476C"/>
    <w:rsid w:val="005D5AEF"/>
    <w:rsid w:val="005E031D"/>
    <w:rsid w:val="005E2226"/>
    <w:rsid w:val="005F007E"/>
    <w:rsid w:val="005F22D5"/>
    <w:rsid w:val="005F2659"/>
    <w:rsid w:val="005F3198"/>
    <w:rsid w:val="005F5238"/>
    <w:rsid w:val="005F5B86"/>
    <w:rsid w:val="00603A8C"/>
    <w:rsid w:val="00607135"/>
    <w:rsid w:val="00610D76"/>
    <w:rsid w:val="0061425B"/>
    <w:rsid w:val="00615CCA"/>
    <w:rsid w:val="00616504"/>
    <w:rsid w:val="00616551"/>
    <w:rsid w:val="00617C3C"/>
    <w:rsid w:val="00623384"/>
    <w:rsid w:val="006236AD"/>
    <w:rsid w:val="0063195F"/>
    <w:rsid w:val="00632944"/>
    <w:rsid w:val="006355A9"/>
    <w:rsid w:val="00637A4F"/>
    <w:rsid w:val="00641CD5"/>
    <w:rsid w:val="00642BB6"/>
    <w:rsid w:val="00644031"/>
    <w:rsid w:val="00644FBC"/>
    <w:rsid w:val="00647134"/>
    <w:rsid w:val="00652DB9"/>
    <w:rsid w:val="0065703E"/>
    <w:rsid w:val="006575E7"/>
    <w:rsid w:val="00657673"/>
    <w:rsid w:val="00661E32"/>
    <w:rsid w:val="00662CCA"/>
    <w:rsid w:val="00662EC6"/>
    <w:rsid w:val="00662F26"/>
    <w:rsid w:val="00665B56"/>
    <w:rsid w:val="006720DF"/>
    <w:rsid w:val="00672743"/>
    <w:rsid w:val="00681E9C"/>
    <w:rsid w:val="00682B2E"/>
    <w:rsid w:val="00683341"/>
    <w:rsid w:val="006853C1"/>
    <w:rsid w:val="0068695A"/>
    <w:rsid w:val="00686C54"/>
    <w:rsid w:val="00687D34"/>
    <w:rsid w:val="00691B56"/>
    <w:rsid w:val="00691CC7"/>
    <w:rsid w:val="00691D88"/>
    <w:rsid w:val="00691EC8"/>
    <w:rsid w:val="00693C36"/>
    <w:rsid w:val="0069508B"/>
    <w:rsid w:val="00695904"/>
    <w:rsid w:val="006966EC"/>
    <w:rsid w:val="0069730F"/>
    <w:rsid w:val="00697930"/>
    <w:rsid w:val="006A0A1B"/>
    <w:rsid w:val="006A1B40"/>
    <w:rsid w:val="006A29F4"/>
    <w:rsid w:val="006A33FD"/>
    <w:rsid w:val="006A4D49"/>
    <w:rsid w:val="006A5098"/>
    <w:rsid w:val="006A623D"/>
    <w:rsid w:val="006B1149"/>
    <w:rsid w:val="006B1F4E"/>
    <w:rsid w:val="006B35D8"/>
    <w:rsid w:val="006B5EC7"/>
    <w:rsid w:val="006B6C41"/>
    <w:rsid w:val="006C0F17"/>
    <w:rsid w:val="006C3341"/>
    <w:rsid w:val="006C3359"/>
    <w:rsid w:val="006C4A23"/>
    <w:rsid w:val="006C5697"/>
    <w:rsid w:val="006C6FF2"/>
    <w:rsid w:val="006C79FA"/>
    <w:rsid w:val="006C7ECE"/>
    <w:rsid w:val="006D10E1"/>
    <w:rsid w:val="006D3BB4"/>
    <w:rsid w:val="006D4EAB"/>
    <w:rsid w:val="006F04BC"/>
    <w:rsid w:val="006F520F"/>
    <w:rsid w:val="00700A16"/>
    <w:rsid w:val="00701E0C"/>
    <w:rsid w:val="0070236E"/>
    <w:rsid w:val="00702E1F"/>
    <w:rsid w:val="00705D96"/>
    <w:rsid w:val="00706BD6"/>
    <w:rsid w:val="00710B15"/>
    <w:rsid w:val="00710DBC"/>
    <w:rsid w:val="00710F2F"/>
    <w:rsid w:val="00711981"/>
    <w:rsid w:val="00712513"/>
    <w:rsid w:val="00714FCB"/>
    <w:rsid w:val="00716714"/>
    <w:rsid w:val="00717855"/>
    <w:rsid w:val="007208BC"/>
    <w:rsid w:val="007223AD"/>
    <w:rsid w:val="0072313B"/>
    <w:rsid w:val="0073016A"/>
    <w:rsid w:val="007319CE"/>
    <w:rsid w:val="0073502E"/>
    <w:rsid w:val="00735453"/>
    <w:rsid w:val="0074153A"/>
    <w:rsid w:val="00741A58"/>
    <w:rsid w:val="007438FA"/>
    <w:rsid w:val="007444F9"/>
    <w:rsid w:val="00745662"/>
    <w:rsid w:val="00746BB0"/>
    <w:rsid w:val="007500F5"/>
    <w:rsid w:val="00751B12"/>
    <w:rsid w:val="007525B4"/>
    <w:rsid w:val="0075361E"/>
    <w:rsid w:val="00755B39"/>
    <w:rsid w:val="00756505"/>
    <w:rsid w:val="007602DD"/>
    <w:rsid w:val="00760CD7"/>
    <w:rsid w:val="0076688E"/>
    <w:rsid w:val="007720CC"/>
    <w:rsid w:val="0077226B"/>
    <w:rsid w:val="00773DB6"/>
    <w:rsid w:val="0077514A"/>
    <w:rsid w:val="00781279"/>
    <w:rsid w:val="00783AFE"/>
    <w:rsid w:val="007904FF"/>
    <w:rsid w:val="007925EB"/>
    <w:rsid w:val="00796798"/>
    <w:rsid w:val="00797B28"/>
    <w:rsid w:val="007A038A"/>
    <w:rsid w:val="007A1E1B"/>
    <w:rsid w:val="007A23C5"/>
    <w:rsid w:val="007A3D48"/>
    <w:rsid w:val="007A5961"/>
    <w:rsid w:val="007A62AF"/>
    <w:rsid w:val="007A6303"/>
    <w:rsid w:val="007A73B9"/>
    <w:rsid w:val="007B0811"/>
    <w:rsid w:val="007B12CC"/>
    <w:rsid w:val="007B31EB"/>
    <w:rsid w:val="007B425E"/>
    <w:rsid w:val="007C1D53"/>
    <w:rsid w:val="007C22F2"/>
    <w:rsid w:val="007C4FA1"/>
    <w:rsid w:val="007D2F2B"/>
    <w:rsid w:val="007D48A4"/>
    <w:rsid w:val="007D719A"/>
    <w:rsid w:val="007E11AF"/>
    <w:rsid w:val="007E36AC"/>
    <w:rsid w:val="007E4B97"/>
    <w:rsid w:val="007E5353"/>
    <w:rsid w:val="007E55B7"/>
    <w:rsid w:val="007E6392"/>
    <w:rsid w:val="007F42D9"/>
    <w:rsid w:val="007F5799"/>
    <w:rsid w:val="007F5BF8"/>
    <w:rsid w:val="007F7B66"/>
    <w:rsid w:val="00801DE2"/>
    <w:rsid w:val="00802AAD"/>
    <w:rsid w:val="008038C9"/>
    <w:rsid w:val="0080646E"/>
    <w:rsid w:val="00806C2A"/>
    <w:rsid w:val="008077DA"/>
    <w:rsid w:val="008153A1"/>
    <w:rsid w:val="00825BFE"/>
    <w:rsid w:val="00825C8F"/>
    <w:rsid w:val="00826B5E"/>
    <w:rsid w:val="00831380"/>
    <w:rsid w:val="00831843"/>
    <w:rsid w:val="00832D6F"/>
    <w:rsid w:val="008330BB"/>
    <w:rsid w:val="00833CAD"/>
    <w:rsid w:val="008406FC"/>
    <w:rsid w:val="00840AA3"/>
    <w:rsid w:val="008410E6"/>
    <w:rsid w:val="00841318"/>
    <w:rsid w:val="00841E77"/>
    <w:rsid w:val="008421E5"/>
    <w:rsid w:val="00845E45"/>
    <w:rsid w:val="008512E3"/>
    <w:rsid w:val="00851C1E"/>
    <w:rsid w:val="00853166"/>
    <w:rsid w:val="008545A3"/>
    <w:rsid w:val="00856CD9"/>
    <w:rsid w:val="00862F0E"/>
    <w:rsid w:val="00863E6B"/>
    <w:rsid w:val="008655F8"/>
    <w:rsid w:val="00867DAD"/>
    <w:rsid w:val="00867EAE"/>
    <w:rsid w:val="00870A99"/>
    <w:rsid w:val="00871458"/>
    <w:rsid w:val="00872CB6"/>
    <w:rsid w:val="00874F21"/>
    <w:rsid w:val="00882D02"/>
    <w:rsid w:val="00883213"/>
    <w:rsid w:val="00884A1B"/>
    <w:rsid w:val="008923A4"/>
    <w:rsid w:val="008927E0"/>
    <w:rsid w:val="00893556"/>
    <w:rsid w:val="00893B88"/>
    <w:rsid w:val="008953C4"/>
    <w:rsid w:val="008A02F3"/>
    <w:rsid w:val="008A4193"/>
    <w:rsid w:val="008A4440"/>
    <w:rsid w:val="008A58B3"/>
    <w:rsid w:val="008B024E"/>
    <w:rsid w:val="008B14E4"/>
    <w:rsid w:val="008B2C45"/>
    <w:rsid w:val="008B4190"/>
    <w:rsid w:val="008C0361"/>
    <w:rsid w:val="008C2670"/>
    <w:rsid w:val="008C6831"/>
    <w:rsid w:val="008C736D"/>
    <w:rsid w:val="008D30DD"/>
    <w:rsid w:val="008D35B6"/>
    <w:rsid w:val="008D5D5A"/>
    <w:rsid w:val="008D63C9"/>
    <w:rsid w:val="008D77B0"/>
    <w:rsid w:val="008E06A1"/>
    <w:rsid w:val="008E1673"/>
    <w:rsid w:val="008E6D68"/>
    <w:rsid w:val="008F4555"/>
    <w:rsid w:val="00900431"/>
    <w:rsid w:val="00902193"/>
    <w:rsid w:val="0090328C"/>
    <w:rsid w:val="00910123"/>
    <w:rsid w:val="00912961"/>
    <w:rsid w:val="00913386"/>
    <w:rsid w:val="00913F71"/>
    <w:rsid w:val="00914563"/>
    <w:rsid w:val="00916D35"/>
    <w:rsid w:val="00921822"/>
    <w:rsid w:val="00921960"/>
    <w:rsid w:val="0092196F"/>
    <w:rsid w:val="00923F6C"/>
    <w:rsid w:val="00925D28"/>
    <w:rsid w:val="00927B48"/>
    <w:rsid w:val="00931166"/>
    <w:rsid w:val="0093340A"/>
    <w:rsid w:val="00933955"/>
    <w:rsid w:val="00935A11"/>
    <w:rsid w:val="00936518"/>
    <w:rsid w:val="00937032"/>
    <w:rsid w:val="00937C98"/>
    <w:rsid w:val="0094258F"/>
    <w:rsid w:val="0094661D"/>
    <w:rsid w:val="0095122D"/>
    <w:rsid w:val="00952194"/>
    <w:rsid w:val="00955087"/>
    <w:rsid w:val="0095730F"/>
    <w:rsid w:val="0096060D"/>
    <w:rsid w:val="00961C95"/>
    <w:rsid w:val="00962A5F"/>
    <w:rsid w:val="00963B0B"/>
    <w:rsid w:val="0096467C"/>
    <w:rsid w:val="00965969"/>
    <w:rsid w:val="00965DB7"/>
    <w:rsid w:val="009667C2"/>
    <w:rsid w:val="00967F39"/>
    <w:rsid w:val="00970038"/>
    <w:rsid w:val="00971D84"/>
    <w:rsid w:val="0097237D"/>
    <w:rsid w:val="009740A2"/>
    <w:rsid w:val="00976F17"/>
    <w:rsid w:val="00981972"/>
    <w:rsid w:val="0098245F"/>
    <w:rsid w:val="009855CA"/>
    <w:rsid w:val="00990F07"/>
    <w:rsid w:val="009932D0"/>
    <w:rsid w:val="00996DA3"/>
    <w:rsid w:val="009B0A61"/>
    <w:rsid w:val="009B109A"/>
    <w:rsid w:val="009B4531"/>
    <w:rsid w:val="009B5F75"/>
    <w:rsid w:val="009B6519"/>
    <w:rsid w:val="009B6C65"/>
    <w:rsid w:val="009B7836"/>
    <w:rsid w:val="009C164A"/>
    <w:rsid w:val="009D0A18"/>
    <w:rsid w:val="009D17E4"/>
    <w:rsid w:val="009D5A93"/>
    <w:rsid w:val="009D5BA5"/>
    <w:rsid w:val="009D64E2"/>
    <w:rsid w:val="009D6BF5"/>
    <w:rsid w:val="009E0276"/>
    <w:rsid w:val="009E25B6"/>
    <w:rsid w:val="009E2A29"/>
    <w:rsid w:val="009E5F33"/>
    <w:rsid w:val="009E6791"/>
    <w:rsid w:val="009E7510"/>
    <w:rsid w:val="009F02C1"/>
    <w:rsid w:val="009F0BD2"/>
    <w:rsid w:val="009F1452"/>
    <w:rsid w:val="009F1BF8"/>
    <w:rsid w:val="009F1C9C"/>
    <w:rsid w:val="009F250C"/>
    <w:rsid w:val="009F275E"/>
    <w:rsid w:val="009F434C"/>
    <w:rsid w:val="009F7D34"/>
    <w:rsid w:val="00A00E7B"/>
    <w:rsid w:val="00A02520"/>
    <w:rsid w:val="00A02BAA"/>
    <w:rsid w:val="00A107BD"/>
    <w:rsid w:val="00A10D56"/>
    <w:rsid w:val="00A1218E"/>
    <w:rsid w:val="00A12C39"/>
    <w:rsid w:val="00A13A13"/>
    <w:rsid w:val="00A15326"/>
    <w:rsid w:val="00A16CEC"/>
    <w:rsid w:val="00A26C91"/>
    <w:rsid w:val="00A26E9C"/>
    <w:rsid w:val="00A318E2"/>
    <w:rsid w:val="00A33F58"/>
    <w:rsid w:val="00A36055"/>
    <w:rsid w:val="00A40BC8"/>
    <w:rsid w:val="00A4369D"/>
    <w:rsid w:val="00A43B19"/>
    <w:rsid w:val="00A4472E"/>
    <w:rsid w:val="00A46D31"/>
    <w:rsid w:val="00A47EA4"/>
    <w:rsid w:val="00A503E5"/>
    <w:rsid w:val="00A509FD"/>
    <w:rsid w:val="00A53F03"/>
    <w:rsid w:val="00A53FF0"/>
    <w:rsid w:val="00A54456"/>
    <w:rsid w:val="00A5471E"/>
    <w:rsid w:val="00A551D7"/>
    <w:rsid w:val="00A55B27"/>
    <w:rsid w:val="00A55BDA"/>
    <w:rsid w:val="00A60C43"/>
    <w:rsid w:val="00A64596"/>
    <w:rsid w:val="00A67BE2"/>
    <w:rsid w:val="00A74820"/>
    <w:rsid w:val="00A76E41"/>
    <w:rsid w:val="00A776BC"/>
    <w:rsid w:val="00A8105F"/>
    <w:rsid w:val="00A81465"/>
    <w:rsid w:val="00A833A7"/>
    <w:rsid w:val="00A86AB0"/>
    <w:rsid w:val="00A87262"/>
    <w:rsid w:val="00A90F79"/>
    <w:rsid w:val="00A93929"/>
    <w:rsid w:val="00A9509B"/>
    <w:rsid w:val="00A963E4"/>
    <w:rsid w:val="00A97C90"/>
    <w:rsid w:val="00AA15A6"/>
    <w:rsid w:val="00AA182F"/>
    <w:rsid w:val="00AA3F58"/>
    <w:rsid w:val="00AA4870"/>
    <w:rsid w:val="00AA6B5D"/>
    <w:rsid w:val="00AB1D83"/>
    <w:rsid w:val="00AB5668"/>
    <w:rsid w:val="00AB587E"/>
    <w:rsid w:val="00AB6697"/>
    <w:rsid w:val="00AC0CA3"/>
    <w:rsid w:val="00AC24D8"/>
    <w:rsid w:val="00AC2F0E"/>
    <w:rsid w:val="00AC6B22"/>
    <w:rsid w:val="00AD13AD"/>
    <w:rsid w:val="00AE08D3"/>
    <w:rsid w:val="00AE225B"/>
    <w:rsid w:val="00AE46A4"/>
    <w:rsid w:val="00AE535D"/>
    <w:rsid w:val="00AE69CE"/>
    <w:rsid w:val="00AF08E9"/>
    <w:rsid w:val="00AF0B26"/>
    <w:rsid w:val="00AF2165"/>
    <w:rsid w:val="00AF6826"/>
    <w:rsid w:val="00B00877"/>
    <w:rsid w:val="00B02697"/>
    <w:rsid w:val="00B0719C"/>
    <w:rsid w:val="00B14CC8"/>
    <w:rsid w:val="00B17240"/>
    <w:rsid w:val="00B234C1"/>
    <w:rsid w:val="00B248CE"/>
    <w:rsid w:val="00B24E37"/>
    <w:rsid w:val="00B25020"/>
    <w:rsid w:val="00B256C8"/>
    <w:rsid w:val="00B256F6"/>
    <w:rsid w:val="00B272EE"/>
    <w:rsid w:val="00B302A1"/>
    <w:rsid w:val="00B31FCC"/>
    <w:rsid w:val="00B3557A"/>
    <w:rsid w:val="00B3740D"/>
    <w:rsid w:val="00B3776F"/>
    <w:rsid w:val="00B418AB"/>
    <w:rsid w:val="00B41ACE"/>
    <w:rsid w:val="00B4291F"/>
    <w:rsid w:val="00B42B7C"/>
    <w:rsid w:val="00B42F55"/>
    <w:rsid w:val="00B46CA3"/>
    <w:rsid w:val="00B5591E"/>
    <w:rsid w:val="00B565C7"/>
    <w:rsid w:val="00B56F47"/>
    <w:rsid w:val="00B608C5"/>
    <w:rsid w:val="00B61CEF"/>
    <w:rsid w:val="00B657D7"/>
    <w:rsid w:val="00B659E9"/>
    <w:rsid w:val="00B677D1"/>
    <w:rsid w:val="00B7130A"/>
    <w:rsid w:val="00B71CA8"/>
    <w:rsid w:val="00B753C1"/>
    <w:rsid w:val="00B82CCF"/>
    <w:rsid w:val="00B83052"/>
    <w:rsid w:val="00B8677C"/>
    <w:rsid w:val="00B90FC3"/>
    <w:rsid w:val="00B92387"/>
    <w:rsid w:val="00B9395A"/>
    <w:rsid w:val="00B93A38"/>
    <w:rsid w:val="00B95280"/>
    <w:rsid w:val="00B9638C"/>
    <w:rsid w:val="00BA5133"/>
    <w:rsid w:val="00BA5885"/>
    <w:rsid w:val="00BA59F6"/>
    <w:rsid w:val="00BA6774"/>
    <w:rsid w:val="00BB0763"/>
    <w:rsid w:val="00BB0E01"/>
    <w:rsid w:val="00BB1CB2"/>
    <w:rsid w:val="00BB21F1"/>
    <w:rsid w:val="00BB4264"/>
    <w:rsid w:val="00BB4B2D"/>
    <w:rsid w:val="00BB6099"/>
    <w:rsid w:val="00BB6BDE"/>
    <w:rsid w:val="00BB702A"/>
    <w:rsid w:val="00BC0FBE"/>
    <w:rsid w:val="00BC1D98"/>
    <w:rsid w:val="00BC3F50"/>
    <w:rsid w:val="00BD324F"/>
    <w:rsid w:val="00BD3603"/>
    <w:rsid w:val="00BD702A"/>
    <w:rsid w:val="00BE0161"/>
    <w:rsid w:val="00BE1766"/>
    <w:rsid w:val="00BE3275"/>
    <w:rsid w:val="00BE36C6"/>
    <w:rsid w:val="00BE5F84"/>
    <w:rsid w:val="00BF0DFB"/>
    <w:rsid w:val="00BF14CF"/>
    <w:rsid w:val="00BF48F2"/>
    <w:rsid w:val="00BF648F"/>
    <w:rsid w:val="00C00A12"/>
    <w:rsid w:val="00C01354"/>
    <w:rsid w:val="00C02E08"/>
    <w:rsid w:val="00C04FEC"/>
    <w:rsid w:val="00C05052"/>
    <w:rsid w:val="00C0544C"/>
    <w:rsid w:val="00C064AA"/>
    <w:rsid w:val="00C10643"/>
    <w:rsid w:val="00C15609"/>
    <w:rsid w:val="00C16EAB"/>
    <w:rsid w:val="00C23757"/>
    <w:rsid w:val="00C2432E"/>
    <w:rsid w:val="00C25332"/>
    <w:rsid w:val="00C25933"/>
    <w:rsid w:val="00C27C2B"/>
    <w:rsid w:val="00C32F04"/>
    <w:rsid w:val="00C3318C"/>
    <w:rsid w:val="00C34F6D"/>
    <w:rsid w:val="00C3720A"/>
    <w:rsid w:val="00C41DCA"/>
    <w:rsid w:val="00C45720"/>
    <w:rsid w:val="00C51934"/>
    <w:rsid w:val="00C549B2"/>
    <w:rsid w:val="00C55715"/>
    <w:rsid w:val="00C56FA8"/>
    <w:rsid w:val="00C61C00"/>
    <w:rsid w:val="00C62802"/>
    <w:rsid w:val="00C6346F"/>
    <w:rsid w:val="00C73DB2"/>
    <w:rsid w:val="00C75067"/>
    <w:rsid w:val="00C802CF"/>
    <w:rsid w:val="00C830BD"/>
    <w:rsid w:val="00C84E19"/>
    <w:rsid w:val="00C85194"/>
    <w:rsid w:val="00C95F53"/>
    <w:rsid w:val="00C97F3E"/>
    <w:rsid w:val="00CA00FB"/>
    <w:rsid w:val="00CA0715"/>
    <w:rsid w:val="00CA11BC"/>
    <w:rsid w:val="00CA1CD2"/>
    <w:rsid w:val="00CA39D0"/>
    <w:rsid w:val="00CA48E6"/>
    <w:rsid w:val="00CA4E7E"/>
    <w:rsid w:val="00CA67C6"/>
    <w:rsid w:val="00CB14B8"/>
    <w:rsid w:val="00CB262F"/>
    <w:rsid w:val="00CB39DC"/>
    <w:rsid w:val="00CB4939"/>
    <w:rsid w:val="00CB5977"/>
    <w:rsid w:val="00CB5E07"/>
    <w:rsid w:val="00CB5FDB"/>
    <w:rsid w:val="00CC36CA"/>
    <w:rsid w:val="00CC6EF3"/>
    <w:rsid w:val="00CC7A2E"/>
    <w:rsid w:val="00CC7AEB"/>
    <w:rsid w:val="00CD27CB"/>
    <w:rsid w:val="00CD478B"/>
    <w:rsid w:val="00CD6BE5"/>
    <w:rsid w:val="00CD77F5"/>
    <w:rsid w:val="00CD7CD7"/>
    <w:rsid w:val="00CD7DD7"/>
    <w:rsid w:val="00CE0245"/>
    <w:rsid w:val="00CE47BF"/>
    <w:rsid w:val="00CE76D0"/>
    <w:rsid w:val="00CF43D3"/>
    <w:rsid w:val="00CF4997"/>
    <w:rsid w:val="00CF7256"/>
    <w:rsid w:val="00CF75BB"/>
    <w:rsid w:val="00D03579"/>
    <w:rsid w:val="00D04FCE"/>
    <w:rsid w:val="00D11D9E"/>
    <w:rsid w:val="00D13247"/>
    <w:rsid w:val="00D1341B"/>
    <w:rsid w:val="00D13E31"/>
    <w:rsid w:val="00D16614"/>
    <w:rsid w:val="00D2127E"/>
    <w:rsid w:val="00D228D1"/>
    <w:rsid w:val="00D22DFA"/>
    <w:rsid w:val="00D24B8C"/>
    <w:rsid w:val="00D26AA8"/>
    <w:rsid w:val="00D27019"/>
    <w:rsid w:val="00D315DA"/>
    <w:rsid w:val="00D3317F"/>
    <w:rsid w:val="00D360BE"/>
    <w:rsid w:val="00D40BC5"/>
    <w:rsid w:val="00D40F06"/>
    <w:rsid w:val="00D44057"/>
    <w:rsid w:val="00D44B67"/>
    <w:rsid w:val="00D44E81"/>
    <w:rsid w:val="00D4599E"/>
    <w:rsid w:val="00D47576"/>
    <w:rsid w:val="00D479E8"/>
    <w:rsid w:val="00D542F2"/>
    <w:rsid w:val="00D5493C"/>
    <w:rsid w:val="00D56F9B"/>
    <w:rsid w:val="00D61162"/>
    <w:rsid w:val="00D61BD1"/>
    <w:rsid w:val="00D631BE"/>
    <w:rsid w:val="00D635C4"/>
    <w:rsid w:val="00D65D0C"/>
    <w:rsid w:val="00D66AE2"/>
    <w:rsid w:val="00D66B0F"/>
    <w:rsid w:val="00D671EA"/>
    <w:rsid w:val="00D72C3B"/>
    <w:rsid w:val="00D74180"/>
    <w:rsid w:val="00D744B4"/>
    <w:rsid w:val="00D7549F"/>
    <w:rsid w:val="00D77416"/>
    <w:rsid w:val="00D774D4"/>
    <w:rsid w:val="00D7757D"/>
    <w:rsid w:val="00D8023F"/>
    <w:rsid w:val="00D80950"/>
    <w:rsid w:val="00D8348B"/>
    <w:rsid w:val="00D868F2"/>
    <w:rsid w:val="00D86FDE"/>
    <w:rsid w:val="00D8757C"/>
    <w:rsid w:val="00D908D3"/>
    <w:rsid w:val="00D90C19"/>
    <w:rsid w:val="00D91C36"/>
    <w:rsid w:val="00D94AE6"/>
    <w:rsid w:val="00D94BB9"/>
    <w:rsid w:val="00D95048"/>
    <w:rsid w:val="00DA1AE4"/>
    <w:rsid w:val="00DA283C"/>
    <w:rsid w:val="00DA437B"/>
    <w:rsid w:val="00DA78D7"/>
    <w:rsid w:val="00DB0831"/>
    <w:rsid w:val="00DB1859"/>
    <w:rsid w:val="00DB1D37"/>
    <w:rsid w:val="00DB3A56"/>
    <w:rsid w:val="00DB6FE7"/>
    <w:rsid w:val="00DC1D00"/>
    <w:rsid w:val="00DC2A9F"/>
    <w:rsid w:val="00DC552D"/>
    <w:rsid w:val="00DC7B47"/>
    <w:rsid w:val="00DD1A5C"/>
    <w:rsid w:val="00DD1F41"/>
    <w:rsid w:val="00DD34E5"/>
    <w:rsid w:val="00DD3639"/>
    <w:rsid w:val="00DD4360"/>
    <w:rsid w:val="00DD6DD7"/>
    <w:rsid w:val="00DD6FD2"/>
    <w:rsid w:val="00DE1373"/>
    <w:rsid w:val="00DE21B5"/>
    <w:rsid w:val="00DE2EF0"/>
    <w:rsid w:val="00DE5A74"/>
    <w:rsid w:val="00DF0EBB"/>
    <w:rsid w:val="00DF22C3"/>
    <w:rsid w:val="00DF298C"/>
    <w:rsid w:val="00DF40A0"/>
    <w:rsid w:val="00DF4135"/>
    <w:rsid w:val="00DF5A45"/>
    <w:rsid w:val="00DF6369"/>
    <w:rsid w:val="00DF693A"/>
    <w:rsid w:val="00E0259E"/>
    <w:rsid w:val="00E0287C"/>
    <w:rsid w:val="00E0318A"/>
    <w:rsid w:val="00E04CC3"/>
    <w:rsid w:val="00E1000C"/>
    <w:rsid w:val="00E10BFF"/>
    <w:rsid w:val="00E1186D"/>
    <w:rsid w:val="00E1484A"/>
    <w:rsid w:val="00E152C9"/>
    <w:rsid w:val="00E2020D"/>
    <w:rsid w:val="00E21A06"/>
    <w:rsid w:val="00E2576F"/>
    <w:rsid w:val="00E30197"/>
    <w:rsid w:val="00E30704"/>
    <w:rsid w:val="00E30B21"/>
    <w:rsid w:val="00E344E1"/>
    <w:rsid w:val="00E34784"/>
    <w:rsid w:val="00E42B97"/>
    <w:rsid w:val="00E46AF8"/>
    <w:rsid w:val="00E5409A"/>
    <w:rsid w:val="00E5458F"/>
    <w:rsid w:val="00E61333"/>
    <w:rsid w:val="00E6159D"/>
    <w:rsid w:val="00E62805"/>
    <w:rsid w:val="00E67AB7"/>
    <w:rsid w:val="00E743FC"/>
    <w:rsid w:val="00E760DC"/>
    <w:rsid w:val="00E772BA"/>
    <w:rsid w:val="00E80BCE"/>
    <w:rsid w:val="00E80EFF"/>
    <w:rsid w:val="00E81CF1"/>
    <w:rsid w:val="00E82532"/>
    <w:rsid w:val="00E855FA"/>
    <w:rsid w:val="00E85BD7"/>
    <w:rsid w:val="00E85F4F"/>
    <w:rsid w:val="00E87612"/>
    <w:rsid w:val="00E905AE"/>
    <w:rsid w:val="00E92ACD"/>
    <w:rsid w:val="00E974A2"/>
    <w:rsid w:val="00EA0415"/>
    <w:rsid w:val="00EA5AB5"/>
    <w:rsid w:val="00EA5D6A"/>
    <w:rsid w:val="00EA6950"/>
    <w:rsid w:val="00EB57E9"/>
    <w:rsid w:val="00EC05E9"/>
    <w:rsid w:val="00EC2A61"/>
    <w:rsid w:val="00EC2D7F"/>
    <w:rsid w:val="00EC614F"/>
    <w:rsid w:val="00EC6556"/>
    <w:rsid w:val="00ED1FD7"/>
    <w:rsid w:val="00ED3275"/>
    <w:rsid w:val="00ED3A25"/>
    <w:rsid w:val="00ED5234"/>
    <w:rsid w:val="00ED5C41"/>
    <w:rsid w:val="00EE1152"/>
    <w:rsid w:val="00EE2474"/>
    <w:rsid w:val="00EF28C5"/>
    <w:rsid w:val="00EF324E"/>
    <w:rsid w:val="00EF349C"/>
    <w:rsid w:val="00EF39B2"/>
    <w:rsid w:val="00EF39ED"/>
    <w:rsid w:val="00F021CF"/>
    <w:rsid w:val="00F05B0F"/>
    <w:rsid w:val="00F12BB0"/>
    <w:rsid w:val="00F13DE3"/>
    <w:rsid w:val="00F13E79"/>
    <w:rsid w:val="00F16AF2"/>
    <w:rsid w:val="00F17BAE"/>
    <w:rsid w:val="00F2001D"/>
    <w:rsid w:val="00F20029"/>
    <w:rsid w:val="00F2201F"/>
    <w:rsid w:val="00F23852"/>
    <w:rsid w:val="00F24D86"/>
    <w:rsid w:val="00F318B8"/>
    <w:rsid w:val="00F323B7"/>
    <w:rsid w:val="00F33B15"/>
    <w:rsid w:val="00F341B8"/>
    <w:rsid w:val="00F417A3"/>
    <w:rsid w:val="00F42B7E"/>
    <w:rsid w:val="00F42C82"/>
    <w:rsid w:val="00F42EDB"/>
    <w:rsid w:val="00F44275"/>
    <w:rsid w:val="00F46C0C"/>
    <w:rsid w:val="00F5064E"/>
    <w:rsid w:val="00F55B72"/>
    <w:rsid w:val="00F6056C"/>
    <w:rsid w:val="00F60CB5"/>
    <w:rsid w:val="00F61581"/>
    <w:rsid w:val="00F62E7F"/>
    <w:rsid w:val="00F63BB9"/>
    <w:rsid w:val="00F658B9"/>
    <w:rsid w:val="00F67DBB"/>
    <w:rsid w:val="00F700AA"/>
    <w:rsid w:val="00F718B0"/>
    <w:rsid w:val="00F73A71"/>
    <w:rsid w:val="00F77D48"/>
    <w:rsid w:val="00F8293E"/>
    <w:rsid w:val="00F82BD4"/>
    <w:rsid w:val="00F84C94"/>
    <w:rsid w:val="00F90BB6"/>
    <w:rsid w:val="00F915D1"/>
    <w:rsid w:val="00F91939"/>
    <w:rsid w:val="00F93E86"/>
    <w:rsid w:val="00F9576D"/>
    <w:rsid w:val="00F95F0C"/>
    <w:rsid w:val="00F9732F"/>
    <w:rsid w:val="00FA0E7F"/>
    <w:rsid w:val="00FA3548"/>
    <w:rsid w:val="00FA4B38"/>
    <w:rsid w:val="00FA50EB"/>
    <w:rsid w:val="00FA6DC0"/>
    <w:rsid w:val="00FA7EB1"/>
    <w:rsid w:val="00FB1CEC"/>
    <w:rsid w:val="00FB419B"/>
    <w:rsid w:val="00FB46DC"/>
    <w:rsid w:val="00FB6F9F"/>
    <w:rsid w:val="00FB7A48"/>
    <w:rsid w:val="00FC12FE"/>
    <w:rsid w:val="00FC1489"/>
    <w:rsid w:val="00FC3441"/>
    <w:rsid w:val="00FD1ED3"/>
    <w:rsid w:val="00FD6C28"/>
    <w:rsid w:val="00FE1287"/>
    <w:rsid w:val="00FE310B"/>
    <w:rsid w:val="00FE39B9"/>
    <w:rsid w:val="00FE6AD7"/>
    <w:rsid w:val="00FF1BA9"/>
    <w:rsid w:val="00FF5290"/>
    <w:rsid w:val="00FF60DC"/>
    <w:rsid w:val="019C3A88"/>
    <w:rsid w:val="02287D7E"/>
    <w:rsid w:val="030E6553"/>
    <w:rsid w:val="03960557"/>
    <w:rsid w:val="03C84930"/>
    <w:rsid w:val="03DF7E09"/>
    <w:rsid w:val="03E67E90"/>
    <w:rsid w:val="043613A4"/>
    <w:rsid w:val="044F00AC"/>
    <w:rsid w:val="04615143"/>
    <w:rsid w:val="04754202"/>
    <w:rsid w:val="048320BB"/>
    <w:rsid w:val="04B563C2"/>
    <w:rsid w:val="05531A54"/>
    <w:rsid w:val="05E53AA2"/>
    <w:rsid w:val="05F92C68"/>
    <w:rsid w:val="0620235A"/>
    <w:rsid w:val="06571B7A"/>
    <w:rsid w:val="06B10ACD"/>
    <w:rsid w:val="06C25923"/>
    <w:rsid w:val="071D11C9"/>
    <w:rsid w:val="077111CE"/>
    <w:rsid w:val="0772575A"/>
    <w:rsid w:val="07A31495"/>
    <w:rsid w:val="07DA3A8F"/>
    <w:rsid w:val="08316975"/>
    <w:rsid w:val="089D7C92"/>
    <w:rsid w:val="0952109C"/>
    <w:rsid w:val="09C92DD3"/>
    <w:rsid w:val="09CF6E4B"/>
    <w:rsid w:val="0AB4609E"/>
    <w:rsid w:val="0ADE415D"/>
    <w:rsid w:val="0BD554C2"/>
    <w:rsid w:val="0C63073D"/>
    <w:rsid w:val="0C7318E1"/>
    <w:rsid w:val="0C901A7D"/>
    <w:rsid w:val="0CCF6888"/>
    <w:rsid w:val="0D0C188A"/>
    <w:rsid w:val="0DD71E98"/>
    <w:rsid w:val="0E43752E"/>
    <w:rsid w:val="0E6D45AA"/>
    <w:rsid w:val="0EFD7089"/>
    <w:rsid w:val="0F121EF0"/>
    <w:rsid w:val="0FC22D3A"/>
    <w:rsid w:val="101038B6"/>
    <w:rsid w:val="10196798"/>
    <w:rsid w:val="11304CEB"/>
    <w:rsid w:val="118916FB"/>
    <w:rsid w:val="11902D76"/>
    <w:rsid w:val="11AF4DCB"/>
    <w:rsid w:val="11CB238C"/>
    <w:rsid w:val="11DF1890"/>
    <w:rsid w:val="126A6425"/>
    <w:rsid w:val="127E6D86"/>
    <w:rsid w:val="12955111"/>
    <w:rsid w:val="12B427A8"/>
    <w:rsid w:val="12C61531"/>
    <w:rsid w:val="12CC6E6D"/>
    <w:rsid w:val="13806E42"/>
    <w:rsid w:val="140E7482"/>
    <w:rsid w:val="1440520B"/>
    <w:rsid w:val="14654E7D"/>
    <w:rsid w:val="14737EE6"/>
    <w:rsid w:val="149063EC"/>
    <w:rsid w:val="14D233B9"/>
    <w:rsid w:val="151A0368"/>
    <w:rsid w:val="168B5EEB"/>
    <w:rsid w:val="171071EA"/>
    <w:rsid w:val="174F62D6"/>
    <w:rsid w:val="17BB6387"/>
    <w:rsid w:val="17EE77F0"/>
    <w:rsid w:val="180F7034"/>
    <w:rsid w:val="183A0A1F"/>
    <w:rsid w:val="187A1D9E"/>
    <w:rsid w:val="18820375"/>
    <w:rsid w:val="18D56A9E"/>
    <w:rsid w:val="19006747"/>
    <w:rsid w:val="190525BE"/>
    <w:rsid w:val="198C1D89"/>
    <w:rsid w:val="19C23937"/>
    <w:rsid w:val="1A342318"/>
    <w:rsid w:val="1A9E3268"/>
    <w:rsid w:val="1B650AE3"/>
    <w:rsid w:val="1B74013C"/>
    <w:rsid w:val="1BCA1848"/>
    <w:rsid w:val="1C762227"/>
    <w:rsid w:val="1CDC3027"/>
    <w:rsid w:val="1CFA34AD"/>
    <w:rsid w:val="1D1A3B4F"/>
    <w:rsid w:val="1D9F120E"/>
    <w:rsid w:val="1DA01BE8"/>
    <w:rsid w:val="1E0D2BED"/>
    <w:rsid w:val="1E591AD6"/>
    <w:rsid w:val="1E7B37A5"/>
    <w:rsid w:val="1EA44D1C"/>
    <w:rsid w:val="1EB0258C"/>
    <w:rsid w:val="1ECD2D49"/>
    <w:rsid w:val="1F14499E"/>
    <w:rsid w:val="1F5B26C7"/>
    <w:rsid w:val="1F5C044F"/>
    <w:rsid w:val="1F686DF4"/>
    <w:rsid w:val="1FF450C0"/>
    <w:rsid w:val="203A4DF7"/>
    <w:rsid w:val="20793160"/>
    <w:rsid w:val="21430A11"/>
    <w:rsid w:val="215A4BDB"/>
    <w:rsid w:val="21962D82"/>
    <w:rsid w:val="219D221A"/>
    <w:rsid w:val="21AB33D9"/>
    <w:rsid w:val="223A41F0"/>
    <w:rsid w:val="224109E7"/>
    <w:rsid w:val="224F2695"/>
    <w:rsid w:val="22CA56D0"/>
    <w:rsid w:val="22D447A0"/>
    <w:rsid w:val="22EB689E"/>
    <w:rsid w:val="235E2371"/>
    <w:rsid w:val="248F38ED"/>
    <w:rsid w:val="249C2E00"/>
    <w:rsid w:val="24B147FA"/>
    <w:rsid w:val="251F5A1E"/>
    <w:rsid w:val="25EE1353"/>
    <w:rsid w:val="274160AD"/>
    <w:rsid w:val="27F62AEE"/>
    <w:rsid w:val="283223CC"/>
    <w:rsid w:val="2866365B"/>
    <w:rsid w:val="288C7347"/>
    <w:rsid w:val="28E50C7F"/>
    <w:rsid w:val="28EB2659"/>
    <w:rsid w:val="28EC345C"/>
    <w:rsid w:val="29202FD3"/>
    <w:rsid w:val="2A44220C"/>
    <w:rsid w:val="2AB14810"/>
    <w:rsid w:val="2AD3072D"/>
    <w:rsid w:val="2B6C7C6C"/>
    <w:rsid w:val="2BDD6474"/>
    <w:rsid w:val="2C0B54C5"/>
    <w:rsid w:val="2C292017"/>
    <w:rsid w:val="2CAC4BA2"/>
    <w:rsid w:val="2CB35C78"/>
    <w:rsid w:val="2CF23FA9"/>
    <w:rsid w:val="2CF40890"/>
    <w:rsid w:val="2D1719A4"/>
    <w:rsid w:val="2DDE509E"/>
    <w:rsid w:val="2F204A26"/>
    <w:rsid w:val="2F3045A4"/>
    <w:rsid w:val="2F567AA0"/>
    <w:rsid w:val="2FE6113D"/>
    <w:rsid w:val="301645BB"/>
    <w:rsid w:val="30302844"/>
    <w:rsid w:val="30654C8A"/>
    <w:rsid w:val="309F5392"/>
    <w:rsid w:val="30B4367E"/>
    <w:rsid w:val="3161171F"/>
    <w:rsid w:val="319A28B2"/>
    <w:rsid w:val="31BC0026"/>
    <w:rsid w:val="3276083D"/>
    <w:rsid w:val="329A3661"/>
    <w:rsid w:val="32D16C5C"/>
    <w:rsid w:val="339B19D0"/>
    <w:rsid w:val="33EE2317"/>
    <w:rsid w:val="3508551A"/>
    <w:rsid w:val="359C0F7A"/>
    <w:rsid w:val="35E113E3"/>
    <w:rsid w:val="370B120F"/>
    <w:rsid w:val="37776170"/>
    <w:rsid w:val="37781747"/>
    <w:rsid w:val="37847CCD"/>
    <w:rsid w:val="378B37C3"/>
    <w:rsid w:val="37CD2E49"/>
    <w:rsid w:val="381C1DAF"/>
    <w:rsid w:val="382B35B4"/>
    <w:rsid w:val="3941563D"/>
    <w:rsid w:val="394C2E8B"/>
    <w:rsid w:val="3AE332B3"/>
    <w:rsid w:val="3B071D45"/>
    <w:rsid w:val="3BB54959"/>
    <w:rsid w:val="3C8C247C"/>
    <w:rsid w:val="3D514278"/>
    <w:rsid w:val="3D65545B"/>
    <w:rsid w:val="3D861DD8"/>
    <w:rsid w:val="3DFB2CDF"/>
    <w:rsid w:val="3E7C6D69"/>
    <w:rsid w:val="3EB83A8B"/>
    <w:rsid w:val="3EE51A3E"/>
    <w:rsid w:val="3F4D512E"/>
    <w:rsid w:val="3F8844F1"/>
    <w:rsid w:val="3FA119B7"/>
    <w:rsid w:val="40177DE3"/>
    <w:rsid w:val="407A192C"/>
    <w:rsid w:val="417A1877"/>
    <w:rsid w:val="4186089B"/>
    <w:rsid w:val="425C413F"/>
    <w:rsid w:val="42654E02"/>
    <w:rsid w:val="427C0258"/>
    <w:rsid w:val="42EF614C"/>
    <w:rsid w:val="432253DD"/>
    <w:rsid w:val="43654427"/>
    <w:rsid w:val="43863DDA"/>
    <w:rsid w:val="43D011EA"/>
    <w:rsid w:val="441477C8"/>
    <w:rsid w:val="444939F2"/>
    <w:rsid w:val="44557E80"/>
    <w:rsid w:val="4473408E"/>
    <w:rsid w:val="45551365"/>
    <w:rsid w:val="45CD7101"/>
    <w:rsid w:val="46484442"/>
    <w:rsid w:val="46C40504"/>
    <w:rsid w:val="47482EE3"/>
    <w:rsid w:val="476F66C2"/>
    <w:rsid w:val="47B01446"/>
    <w:rsid w:val="47CC27EE"/>
    <w:rsid w:val="480C3F11"/>
    <w:rsid w:val="482809DA"/>
    <w:rsid w:val="491E1806"/>
    <w:rsid w:val="496B47B7"/>
    <w:rsid w:val="4A0B7731"/>
    <w:rsid w:val="4A9A751F"/>
    <w:rsid w:val="4AB8212E"/>
    <w:rsid w:val="4AC05A5A"/>
    <w:rsid w:val="4AE10089"/>
    <w:rsid w:val="4B022328"/>
    <w:rsid w:val="4B384AFB"/>
    <w:rsid w:val="4B3A3DE4"/>
    <w:rsid w:val="4B6217B9"/>
    <w:rsid w:val="4B701FD3"/>
    <w:rsid w:val="4B77032C"/>
    <w:rsid w:val="4BCA4DC2"/>
    <w:rsid w:val="4BD125AC"/>
    <w:rsid w:val="4BD340D8"/>
    <w:rsid w:val="4C360546"/>
    <w:rsid w:val="4CFF75D5"/>
    <w:rsid w:val="4DAE5F5E"/>
    <w:rsid w:val="4E507D60"/>
    <w:rsid w:val="4E6B5729"/>
    <w:rsid w:val="4EA404FD"/>
    <w:rsid w:val="4FA56487"/>
    <w:rsid w:val="4FC44EDC"/>
    <w:rsid w:val="4FF051A0"/>
    <w:rsid w:val="50141FA4"/>
    <w:rsid w:val="507506FE"/>
    <w:rsid w:val="50923421"/>
    <w:rsid w:val="50D954C3"/>
    <w:rsid w:val="50FE2791"/>
    <w:rsid w:val="51752B27"/>
    <w:rsid w:val="52C12FB4"/>
    <w:rsid w:val="53307DE8"/>
    <w:rsid w:val="535B5D4C"/>
    <w:rsid w:val="53866EE0"/>
    <w:rsid w:val="538F587F"/>
    <w:rsid w:val="544E2FF3"/>
    <w:rsid w:val="54791DE5"/>
    <w:rsid w:val="54EA55DA"/>
    <w:rsid w:val="55D63612"/>
    <w:rsid w:val="56C113D0"/>
    <w:rsid w:val="56CB143B"/>
    <w:rsid w:val="57961A49"/>
    <w:rsid w:val="57E05BE1"/>
    <w:rsid w:val="58346A24"/>
    <w:rsid w:val="58AD704A"/>
    <w:rsid w:val="58F72073"/>
    <w:rsid w:val="59301A29"/>
    <w:rsid w:val="59464DA9"/>
    <w:rsid w:val="59654F1B"/>
    <w:rsid w:val="59F82547"/>
    <w:rsid w:val="5A8E6B50"/>
    <w:rsid w:val="5B526E3B"/>
    <w:rsid w:val="5BD112A2"/>
    <w:rsid w:val="5C5E240A"/>
    <w:rsid w:val="5CD268D5"/>
    <w:rsid w:val="5D176670"/>
    <w:rsid w:val="5DB42246"/>
    <w:rsid w:val="5DBC1ADE"/>
    <w:rsid w:val="5E0D2C7D"/>
    <w:rsid w:val="5E2C755E"/>
    <w:rsid w:val="5E4A533B"/>
    <w:rsid w:val="5E4A6AF2"/>
    <w:rsid w:val="5EFB5FCF"/>
    <w:rsid w:val="5F185E67"/>
    <w:rsid w:val="5F912EFC"/>
    <w:rsid w:val="5FA752A4"/>
    <w:rsid w:val="60032F94"/>
    <w:rsid w:val="60532394"/>
    <w:rsid w:val="605C4EB2"/>
    <w:rsid w:val="609346F9"/>
    <w:rsid w:val="60976762"/>
    <w:rsid w:val="60E87DCD"/>
    <w:rsid w:val="615674ED"/>
    <w:rsid w:val="62202150"/>
    <w:rsid w:val="62255EA3"/>
    <w:rsid w:val="635001EF"/>
    <w:rsid w:val="637048DB"/>
    <w:rsid w:val="63D0272B"/>
    <w:rsid w:val="64834717"/>
    <w:rsid w:val="64AA146F"/>
    <w:rsid w:val="64F629E2"/>
    <w:rsid w:val="650B1EAB"/>
    <w:rsid w:val="65335497"/>
    <w:rsid w:val="65431800"/>
    <w:rsid w:val="659956F1"/>
    <w:rsid w:val="65D76172"/>
    <w:rsid w:val="66C77325"/>
    <w:rsid w:val="66CE3288"/>
    <w:rsid w:val="678673E4"/>
    <w:rsid w:val="68931D4F"/>
    <w:rsid w:val="68996CA3"/>
    <w:rsid w:val="68C6406F"/>
    <w:rsid w:val="6A1638AD"/>
    <w:rsid w:val="6A3944D6"/>
    <w:rsid w:val="6A411797"/>
    <w:rsid w:val="6B4551DF"/>
    <w:rsid w:val="6B9E2823"/>
    <w:rsid w:val="6BC935EB"/>
    <w:rsid w:val="6C1D59BA"/>
    <w:rsid w:val="6C992C34"/>
    <w:rsid w:val="6CA95923"/>
    <w:rsid w:val="6CDF45CD"/>
    <w:rsid w:val="6D7418A4"/>
    <w:rsid w:val="6D756958"/>
    <w:rsid w:val="6DE459AB"/>
    <w:rsid w:val="6E3B0A20"/>
    <w:rsid w:val="6EE7779F"/>
    <w:rsid w:val="6FC36CFC"/>
    <w:rsid w:val="70227EC6"/>
    <w:rsid w:val="71035C45"/>
    <w:rsid w:val="718323E3"/>
    <w:rsid w:val="718B3849"/>
    <w:rsid w:val="719A58E8"/>
    <w:rsid w:val="72E90ED3"/>
    <w:rsid w:val="73663647"/>
    <w:rsid w:val="7377015A"/>
    <w:rsid w:val="73966C01"/>
    <w:rsid w:val="739D2BFF"/>
    <w:rsid w:val="73B77D0C"/>
    <w:rsid w:val="73C37269"/>
    <w:rsid w:val="73CA3A53"/>
    <w:rsid w:val="73EE31E0"/>
    <w:rsid w:val="74027DBB"/>
    <w:rsid w:val="751C37AC"/>
    <w:rsid w:val="752419D7"/>
    <w:rsid w:val="7526130E"/>
    <w:rsid w:val="75A62E64"/>
    <w:rsid w:val="75B4228D"/>
    <w:rsid w:val="75BB53FD"/>
    <w:rsid w:val="75E96582"/>
    <w:rsid w:val="763E532E"/>
    <w:rsid w:val="76470CAA"/>
    <w:rsid w:val="764D1082"/>
    <w:rsid w:val="766F2799"/>
    <w:rsid w:val="76FC63AD"/>
    <w:rsid w:val="772C5186"/>
    <w:rsid w:val="773B6256"/>
    <w:rsid w:val="774C0D1D"/>
    <w:rsid w:val="776D5ECB"/>
    <w:rsid w:val="780B7492"/>
    <w:rsid w:val="78216CB5"/>
    <w:rsid w:val="792C0FD8"/>
    <w:rsid w:val="7A3C0663"/>
    <w:rsid w:val="7AC758F2"/>
    <w:rsid w:val="7AF536F6"/>
    <w:rsid w:val="7D07233B"/>
    <w:rsid w:val="7D1B6488"/>
    <w:rsid w:val="7D40391F"/>
    <w:rsid w:val="7DF96BCA"/>
    <w:rsid w:val="7E1251F4"/>
    <w:rsid w:val="7E1C2E5A"/>
    <w:rsid w:val="7E6416AA"/>
    <w:rsid w:val="7EE66F59"/>
    <w:rsid w:val="7F1A6E76"/>
    <w:rsid w:val="7F1F783D"/>
    <w:rsid w:val="7FAF39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1" w:semiHidden="0" w:name="heading 1"/>
    <w:lsdException w:qFormat="1" w:unhideWhenUsed="0" w:uiPriority="1" w:semiHidden="0" w:name="heading 2"/>
    <w:lsdException w:qFormat="1" w:uiPriority="1" w:semiHidden="0" w:name="heading 3"/>
    <w:lsdException w:qFormat="1" w:uiPriority="1" w:semiHidden="0" w:name="heading 4"/>
    <w:lsdException w:qFormat="1" w:uiPriority="1"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1"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Courier New" w:cs="Times New Roman"/>
      <w:kern w:val="2"/>
      <w:sz w:val="21"/>
      <w:szCs w:val="21"/>
      <w:lang w:val="en-US" w:eastAsia="zh-CN" w:bidi="ar-SA"/>
    </w:rPr>
  </w:style>
  <w:style w:type="paragraph" w:styleId="2">
    <w:name w:val="heading 1"/>
    <w:basedOn w:val="1"/>
    <w:next w:val="1"/>
    <w:qFormat/>
    <w:uiPriority w:val="1"/>
    <w:pPr>
      <w:keepNext/>
      <w:keepLines/>
      <w:spacing w:before="340" w:after="330" w:line="576" w:lineRule="auto"/>
      <w:outlineLvl w:val="0"/>
    </w:pPr>
    <w:rPr>
      <w:b/>
      <w:kern w:val="44"/>
      <w:sz w:val="44"/>
    </w:rPr>
  </w:style>
  <w:style w:type="paragraph" w:styleId="3">
    <w:name w:val="heading 2"/>
    <w:basedOn w:val="1"/>
    <w:next w:val="1"/>
    <w:link w:val="30"/>
    <w:qFormat/>
    <w:uiPriority w:val="1"/>
    <w:pPr>
      <w:keepNext/>
      <w:keepLines/>
      <w:adjustRightInd w:val="0"/>
      <w:snapToGrid w:val="0"/>
      <w:spacing w:before="260" w:after="260" w:line="416" w:lineRule="auto"/>
      <w:ind w:firstLine="600" w:firstLineChars="200"/>
      <w:outlineLvl w:val="1"/>
    </w:pPr>
    <w:rPr>
      <w:rFonts w:ascii="Arial" w:hAnsi="Arial" w:eastAsia="Symbol"/>
      <w:b/>
      <w:bCs/>
      <w:sz w:val="32"/>
      <w:szCs w:val="32"/>
    </w:rPr>
  </w:style>
  <w:style w:type="paragraph" w:styleId="4">
    <w:name w:val="heading 3"/>
    <w:basedOn w:val="1"/>
    <w:next w:val="1"/>
    <w:unhideWhenUsed/>
    <w:qFormat/>
    <w:uiPriority w:val="1"/>
    <w:pPr>
      <w:keepNext/>
      <w:keepLines/>
      <w:spacing w:before="260" w:after="260" w:line="413" w:lineRule="auto"/>
      <w:outlineLvl w:val="2"/>
    </w:pPr>
    <w:rPr>
      <w:b/>
      <w:sz w:val="32"/>
    </w:rPr>
  </w:style>
  <w:style w:type="paragraph" w:styleId="5">
    <w:name w:val="heading 4"/>
    <w:basedOn w:val="1"/>
    <w:next w:val="1"/>
    <w:link w:val="35"/>
    <w:unhideWhenUsed/>
    <w:qFormat/>
    <w:uiPriority w:val="1"/>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33"/>
    <w:unhideWhenUsed/>
    <w:qFormat/>
    <w:uiPriority w:val="1"/>
    <w:pPr>
      <w:keepNext/>
      <w:keepLines/>
      <w:spacing w:before="280" w:after="290" w:line="376" w:lineRule="auto"/>
      <w:outlineLvl w:val="4"/>
    </w:pPr>
    <w:rPr>
      <w:b/>
      <w:bCs/>
      <w:sz w:val="28"/>
      <w:szCs w:val="28"/>
    </w:rPr>
  </w:style>
  <w:style w:type="character" w:default="1" w:styleId="21">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7">
    <w:name w:val="Normal Indent"/>
    <w:basedOn w:val="1"/>
    <w:next w:val="8"/>
    <w:qFormat/>
    <w:uiPriority w:val="0"/>
    <w:pPr>
      <w:spacing w:line="360" w:lineRule="auto"/>
      <w:ind w:firstLine="420" w:firstLineChars="200"/>
      <w:jc w:val="left"/>
    </w:pPr>
    <w:rPr>
      <w:rFonts w:ascii="仿宋_GB2312" w:hAnsi="Arial" w:eastAsia="仿宋_GB2312"/>
      <w:kern w:val="0"/>
      <w:sz w:val="30"/>
      <w:szCs w:val="30"/>
    </w:rPr>
  </w:style>
  <w:style w:type="paragraph" w:styleId="8">
    <w:name w:val="Body Text"/>
    <w:basedOn w:val="1"/>
    <w:link w:val="34"/>
    <w:unhideWhenUsed/>
    <w:qFormat/>
    <w:uiPriority w:val="1"/>
    <w:pPr>
      <w:spacing w:after="120"/>
    </w:pPr>
  </w:style>
  <w:style w:type="paragraph" w:styleId="9">
    <w:name w:val="annotation text"/>
    <w:basedOn w:val="1"/>
    <w:link w:val="26"/>
    <w:unhideWhenUsed/>
    <w:qFormat/>
    <w:uiPriority w:val="99"/>
    <w:pPr>
      <w:jc w:val="left"/>
    </w:pPr>
  </w:style>
  <w:style w:type="paragraph" w:styleId="10">
    <w:name w:val="Body Text Indent"/>
    <w:basedOn w:val="1"/>
    <w:qFormat/>
    <w:uiPriority w:val="0"/>
    <w:pPr>
      <w:spacing w:after="120"/>
      <w:ind w:left="420" w:leftChars="200"/>
      <w:jc w:val="left"/>
    </w:pPr>
    <w:rPr>
      <w:rFonts w:hint="eastAsia" w:ascii="宋体" w:hAnsi="宋体" w:eastAsia="宋体"/>
      <w:kern w:val="0"/>
      <w:sz w:val="24"/>
      <w:szCs w:val="24"/>
    </w:rPr>
  </w:style>
  <w:style w:type="paragraph" w:styleId="11">
    <w:name w:val="Balloon Text"/>
    <w:basedOn w:val="1"/>
    <w:link w:val="36"/>
    <w:semiHidden/>
    <w:unhideWhenUsed/>
    <w:qFormat/>
    <w:uiPriority w:val="99"/>
    <w:rPr>
      <w:sz w:val="18"/>
      <w:szCs w:val="18"/>
    </w:rPr>
  </w:style>
  <w:style w:type="paragraph" w:styleId="12">
    <w:name w:val="footer"/>
    <w:basedOn w:val="1"/>
    <w:link w:val="25"/>
    <w:unhideWhenUsed/>
    <w:qFormat/>
    <w:uiPriority w:val="99"/>
    <w:pPr>
      <w:tabs>
        <w:tab w:val="center" w:pos="4153"/>
        <w:tab w:val="right" w:pos="8306"/>
      </w:tabs>
      <w:snapToGrid w:val="0"/>
      <w:jc w:val="left"/>
    </w:pPr>
    <w:rPr>
      <w:rFonts w:asciiTheme="minorHAnsi" w:hAnsiTheme="minorHAnsi" w:eastAsiaTheme="minorEastAsia" w:cstheme="minorBidi"/>
      <w:sz w:val="18"/>
      <w:szCs w:val="18"/>
    </w:rPr>
  </w:style>
  <w:style w:type="paragraph" w:styleId="13">
    <w:name w:val="header"/>
    <w:basedOn w:val="1"/>
    <w:link w:val="24"/>
    <w:unhideWhenUsed/>
    <w:qFormat/>
    <w:uiPriority w:val="99"/>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paragraph" w:styleId="14">
    <w:name w:val="toc 1"/>
    <w:basedOn w:val="1"/>
    <w:next w:val="1"/>
    <w:unhideWhenUsed/>
    <w:qFormat/>
    <w:uiPriority w:val="39"/>
    <w:pPr>
      <w:tabs>
        <w:tab w:val="right" w:leader="dot" w:pos="8714"/>
      </w:tabs>
      <w:spacing w:before="60" w:line="360" w:lineRule="auto"/>
      <w:ind w:left="200" w:leftChars="200"/>
      <w:jc w:val="left"/>
    </w:pPr>
    <w:rPr>
      <w:rFonts w:eastAsia="Helvetica" w:cs="Courier"/>
      <w:bCs/>
      <w:caps/>
      <w:sz w:val="30"/>
      <w:szCs w:val="20"/>
    </w:rPr>
  </w:style>
  <w:style w:type="paragraph" w:styleId="15">
    <w:name w:val="Subtitle"/>
    <w:basedOn w:val="1"/>
    <w:next w:val="1"/>
    <w:link w:val="29"/>
    <w:qFormat/>
    <w:uiPriority w:val="11"/>
    <w:pPr>
      <w:spacing w:before="240" w:after="60" w:line="312" w:lineRule="auto"/>
      <w:jc w:val="center"/>
      <w:outlineLvl w:val="1"/>
    </w:pPr>
    <w:rPr>
      <w:rFonts w:asciiTheme="minorHAnsi" w:hAnsiTheme="minorHAnsi" w:eastAsiaTheme="minorEastAsia" w:cstheme="minorBidi"/>
      <w:b/>
      <w:bCs/>
      <w:kern w:val="28"/>
      <w:sz w:val="32"/>
      <w:szCs w:val="32"/>
    </w:rPr>
  </w:style>
  <w:style w:type="paragraph" w:styleId="16">
    <w:name w:val="toc 2"/>
    <w:basedOn w:val="1"/>
    <w:next w:val="1"/>
    <w:unhideWhenUsed/>
    <w:qFormat/>
    <w:uiPriority w:val="39"/>
    <w:pPr>
      <w:tabs>
        <w:tab w:val="right" w:leader="dot" w:pos="8714"/>
      </w:tabs>
      <w:spacing w:line="360" w:lineRule="auto"/>
      <w:ind w:left="350" w:leftChars="350"/>
      <w:jc w:val="left"/>
    </w:pPr>
    <w:rPr>
      <w:rFonts w:eastAsia="Tms Rmn" w:cs="Courier"/>
      <w:smallCaps/>
      <w:sz w:val="30"/>
      <w:szCs w:val="20"/>
    </w:rPr>
  </w:style>
  <w:style w:type="paragraph" w:styleId="17">
    <w:name w:val="annotation subject"/>
    <w:basedOn w:val="9"/>
    <w:next w:val="9"/>
    <w:link w:val="27"/>
    <w:semiHidden/>
    <w:unhideWhenUsed/>
    <w:qFormat/>
    <w:uiPriority w:val="99"/>
    <w:rPr>
      <w:b/>
      <w:bCs/>
    </w:rPr>
  </w:style>
  <w:style w:type="paragraph" w:styleId="18">
    <w:name w:val="Body Text First Indent 2"/>
    <w:basedOn w:val="10"/>
    <w:qFormat/>
    <w:uiPriority w:val="0"/>
    <w:pPr>
      <w:ind w:firstLine="420"/>
    </w:pPr>
  </w:style>
  <w:style w:type="table" w:styleId="20">
    <w:name w:val="Table Grid"/>
    <w:basedOn w:val="19"/>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2">
    <w:name w:val="Hyperlink"/>
    <w:basedOn w:val="21"/>
    <w:unhideWhenUsed/>
    <w:qFormat/>
    <w:uiPriority w:val="99"/>
    <w:rPr>
      <w:color w:val="0563C1" w:themeColor="hyperlink"/>
      <w:u w:val="single"/>
      <w14:textFill>
        <w14:solidFill>
          <w14:schemeClr w14:val="hlink"/>
        </w14:solidFill>
      </w14:textFill>
    </w:rPr>
  </w:style>
  <w:style w:type="character" w:styleId="23">
    <w:name w:val="annotation reference"/>
    <w:basedOn w:val="21"/>
    <w:unhideWhenUsed/>
    <w:qFormat/>
    <w:uiPriority w:val="99"/>
    <w:rPr>
      <w:sz w:val="21"/>
      <w:szCs w:val="21"/>
    </w:rPr>
  </w:style>
  <w:style w:type="character" w:customStyle="1" w:styleId="24">
    <w:name w:val="页眉 Char"/>
    <w:basedOn w:val="21"/>
    <w:link w:val="13"/>
    <w:qFormat/>
    <w:uiPriority w:val="99"/>
    <w:rPr>
      <w:sz w:val="18"/>
      <w:szCs w:val="18"/>
    </w:rPr>
  </w:style>
  <w:style w:type="character" w:customStyle="1" w:styleId="25">
    <w:name w:val="页脚 Char"/>
    <w:basedOn w:val="21"/>
    <w:link w:val="12"/>
    <w:qFormat/>
    <w:uiPriority w:val="99"/>
    <w:rPr>
      <w:sz w:val="18"/>
      <w:szCs w:val="18"/>
    </w:rPr>
  </w:style>
  <w:style w:type="character" w:customStyle="1" w:styleId="26">
    <w:name w:val="批注文字 Char"/>
    <w:basedOn w:val="21"/>
    <w:link w:val="9"/>
    <w:qFormat/>
    <w:uiPriority w:val="99"/>
    <w:rPr>
      <w:rFonts w:ascii="Times New Roman" w:hAnsi="Times New Roman" w:eastAsia="Courier New" w:cs="Times New Roman"/>
      <w:szCs w:val="21"/>
    </w:rPr>
  </w:style>
  <w:style w:type="character" w:customStyle="1" w:styleId="27">
    <w:name w:val="批注主题 Char"/>
    <w:basedOn w:val="26"/>
    <w:link w:val="17"/>
    <w:semiHidden/>
    <w:qFormat/>
    <w:uiPriority w:val="99"/>
    <w:rPr>
      <w:rFonts w:ascii="Times New Roman" w:hAnsi="Times New Roman" w:eastAsia="Courier New" w:cs="Times New Roman"/>
      <w:b/>
      <w:bCs/>
      <w:szCs w:val="21"/>
    </w:rPr>
  </w:style>
  <w:style w:type="paragraph" w:customStyle="1" w:styleId="28">
    <w:name w:val="独立格式"/>
    <w:basedOn w:val="15"/>
    <w:qFormat/>
    <w:uiPriority w:val="1"/>
    <w:pPr>
      <w:spacing w:before="0" w:after="0" w:line="360" w:lineRule="auto"/>
      <w:outlineLvl w:val="9"/>
    </w:pPr>
    <w:rPr>
      <w:rFonts w:ascii="Times New Roman" w:hAnsi="Times New Roman" w:eastAsia="Tms Rmn" w:cs="Times New Roman"/>
      <w:b w:val="0"/>
      <w:bCs w:val="0"/>
      <w:kern w:val="2"/>
      <w:szCs w:val="52"/>
    </w:rPr>
  </w:style>
  <w:style w:type="character" w:customStyle="1" w:styleId="29">
    <w:name w:val="副标题 Char"/>
    <w:basedOn w:val="21"/>
    <w:link w:val="15"/>
    <w:qFormat/>
    <w:uiPriority w:val="11"/>
    <w:rPr>
      <w:b/>
      <w:bCs/>
      <w:kern w:val="28"/>
      <w:sz w:val="32"/>
      <w:szCs w:val="32"/>
    </w:rPr>
  </w:style>
  <w:style w:type="character" w:customStyle="1" w:styleId="30">
    <w:name w:val="标题 2 Char"/>
    <w:basedOn w:val="21"/>
    <w:link w:val="3"/>
    <w:qFormat/>
    <w:uiPriority w:val="9"/>
    <w:rPr>
      <w:rFonts w:ascii="Arial" w:hAnsi="Arial" w:eastAsia="Symbol" w:cs="Times New Roman"/>
      <w:b/>
      <w:bCs/>
      <w:sz w:val="32"/>
      <w:szCs w:val="32"/>
    </w:rPr>
  </w:style>
  <w:style w:type="paragraph" w:customStyle="1" w:styleId="31">
    <w:name w:val="表格名称"/>
    <w:basedOn w:val="1"/>
    <w:qFormat/>
    <w:uiPriority w:val="0"/>
    <w:pPr>
      <w:spacing w:line="360" w:lineRule="auto"/>
      <w:jc w:val="center"/>
    </w:pPr>
    <w:rPr>
      <w:rFonts w:eastAsia="Helv" w:cs="New York"/>
      <w:b/>
      <w:sz w:val="24"/>
      <w:szCs w:val="24"/>
    </w:rPr>
  </w:style>
  <w:style w:type="paragraph" w:customStyle="1" w:styleId="32">
    <w:name w:val="表格文字"/>
    <w:basedOn w:val="28"/>
    <w:next w:val="1"/>
    <w:qFormat/>
    <w:uiPriority w:val="0"/>
    <w:pPr>
      <w:spacing w:line="360" w:lineRule="exact"/>
    </w:pPr>
    <w:rPr>
      <w:rFonts w:eastAsia="Helv" w:cs="New York"/>
      <w:sz w:val="24"/>
    </w:rPr>
  </w:style>
  <w:style w:type="character" w:customStyle="1" w:styleId="33">
    <w:name w:val="标题 5 Char"/>
    <w:basedOn w:val="21"/>
    <w:link w:val="6"/>
    <w:semiHidden/>
    <w:qFormat/>
    <w:uiPriority w:val="9"/>
    <w:rPr>
      <w:rFonts w:ascii="Times New Roman" w:hAnsi="Times New Roman" w:eastAsia="Courier New" w:cs="Times New Roman"/>
      <w:b/>
      <w:bCs/>
      <w:sz w:val="28"/>
      <w:szCs w:val="28"/>
    </w:rPr>
  </w:style>
  <w:style w:type="character" w:customStyle="1" w:styleId="34">
    <w:name w:val="正文文本 Char"/>
    <w:basedOn w:val="21"/>
    <w:link w:val="8"/>
    <w:semiHidden/>
    <w:qFormat/>
    <w:uiPriority w:val="99"/>
    <w:rPr>
      <w:rFonts w:ascii="Times New Roman" w:hAnsi="Times New Roman" w:eastAsia="Courier New" w:cs="Times New Roman"/>
      <w:szCs w:val="21"/>
    </w:rPr>
  </w:style>
  <w:style w:type="character" w:customStyle="1" w:styleId="35">
    <w:name w:val="标题 4 Char"/>
    <w:basedOn w:val="21"/>
    <w:link w:val="5"/>
    <w:semiHidden/>
    <w:qFormat/>
    <w:uiPriority w:val="9"/>
    <w:rPr>
      <w:rFonts w:asciiTheme="majorHAnsi" w:hAnsiTheme="majorHAnsi" w:eastAsiaTheme="majorEastAsia" w:cstheme="majorBidi"/>
      <w:b/>
      <w:bCs/>
      <w:sz w:val="28"/>
      <w:szCs w:val="28"/>
    </w:rPr>
  </w:style>
  <w:style w:type="character" w:customStyle="1" w:styleId="36">
    <w:name w:val="批注框文本 Char"/>
    <w:basedOn w:val="21"/>
    <w:link w:val="11"/>
    <w:semiHidden/>
    <w:qFormat/>
    <w:uiPriority w:val="99"/>
    <w:rPr>
      <w:rFonts w:ascii="Times New Roman" w:hAnsi="Times New Roman" w:eastAsia="Courier New" w:cs="Times New Roman"/>
      <w:kern w:val="2"/>
      <w:sz w:val="18"/>
      <w:szCs w:val="18"/>
    </w:rPr>
  </w:style>
  <w:style w:type="table" w:customStyle="1" w:styleId="37">
    <w:name w:val="Table Normal"/>
    <w:semiHidden/>
    <w:unhideWhenUsed/>
    <w:qFormat/>
    <w:uiPriority w:val="2"/>
    <w:tblPr>
      <w:tblCellMar>
        <w:top w:w="0" w:type="dxa"/>
        <w:left w:w="0" w:type="dxa"/>
        <w:bottom w:w="0" w:type="dxa"/>
        <w:right w:w="0" w:type="dxa"/>
      </w:tblCellMar>
    </w:tblPr>
  </w:style>
  <w:style w:type="paragraph" w:styleId="38">
    <w:name w:val="List Paragraph"/>
    <w:basedOn w:val="1"/>
    <w:qFormat/>
    <w:uiPriority w:val="1"/>
    <w:pPr>
      <w:autoSpaceDE w:val="0"/>
      <w:autoSpaceDN w:val="0"/>
      <w:ind w:left="109" w:right="99" w:firstLine="641"/>
      <w:jc w:val="left"/>
    </w:pPr>
    <w:rPr>
      <w:rFonts w:ascii="Arial Unicode MS" w:hAnsi="Arial Unicode MS" w:eastAsia="Arial Unicode MS" w:cs="Arial Unicode MS"/>
      <w:kern w:val="0"/>
      <w:sz w:val="22"/>
      <w:szCs w:val="22"/>
      <w:lang w:eastAsia="en-US"/>
    </w:rPr>
  </w:style>
  <w:style w:type="paragraph" w:customStyle="1" w:styleId="39">
    <w:name w:val="Table Paragraph"/>
    <w:basedOn w:val="1"/>
    <w:qFormat/>
    <w:uiPriority w:val="1"/>
    <w:pPr>
      <w:autoSpaceDE w:val="0"/>
      <w:autoSpaceDN w:val="0"/>
      <w:jc w:val="left"/>
    </w:pPr>
    <w:rPr>
      <w:rFonts w:ascii="宋体" w:hAnsi="宋体" w:eastAsia="宋体" w:cs="宋体"/>
      <w:kern w:val="0"/>
      <w:sz w:val="22"/>
      <w:szCs w:val="22"/>
      <w:lang w:eastAsia="en-US"/>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chart" Target="charts/chart1.xml"/><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24037;&#20316;&#31807;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en-US" altLang="zh-CN"/>
              <a:t>2026</a:t>
            </a:r>
            <a:r>
              <a:rPr altLang="en-US"/>
              <a:t>年度预算支出图</a:t>
            </a:r>
            <a:endParaRPr lang="en-US" altLang="zh-CN"/>
          </a:p>
        </c:rich>
      </c:tx>
      <c:layout/>
      <c:overlay val="0"/>
      <c:spPr>
        <a:noFill/>
        <a:ln>
          <a:noFill/>
        </a:ln>
        <a:effectLst/>
      </c:spPr>
    </c:title>
    <c:autoTitleDeleted val="0"/>
    <c:plotArea>
      <c:layout/>
      <c:pieChart>
        <c:varyColors val="1"/>
        <c:ser>
          <c:idx val="0"/>
          <c:order val="0"/>
          <c:spPr/>
          <c:explosion val="0"/>
          <c:dPt>
            <c:idx val="0"/>
            <c:bubble3D val="0"/>
            <c:spPr>
              <a:solidFill>
                <a:schemeClr val="accent1"/>
              </a:solidFill>
              <a:ln>
                <a:solidFill>
                  <a:schemeClr val="bg1"/>
                </a:solidFill>
              </a:ln>
              <a:effectLst/>
            </c:spPr>
          </c:dPt>
          <c:dPt>
            <c:idx val="1"/>
            <c:bubble3D val="0"/>
            <c:spPr>
              <a:solidFill>
                <a:schemeClr val="accent2"/>
              </a:solidFill>
              <a:ln>
                <a:solidFill>
                  <a:schemeClr val="bg1"/>
                </a:solidFill>
              </a:ln>
              <a:effectLst/>
            </c:spPr>
          </c:dPt>
          <c:dLbls>
            <c:numFmt formatCode="0.00%" sourceLinked="0"/>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outEnd"/>
            <c:showLegendKey val="1"/>
            <c:showVal val="1"/>
            <c:showCatName val="1"/>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[工作簿1]Sheet1!$A$12:$A$13</c:f>
              <c:strCache>
                <c:ptCount val="2"/>
                <c:pt idx="0">
                  <c:v>基本支出 </c:v>
                </c:pt>
                <c:pt idx="1">
                  <c:v>项目支出</c:v>
                </c:pt>
              </c:strCache>
            </c:strRef>
          </c:cat>
          <c:val>
            <c:numRef>
              <c:f>[工作簿1]Sheet1!$B$12:$B$13</c:f>
              <c:numCache>
                <c:formatCode>General</c:formatCode>
                <c:ptCount val="2"/>
                <c:pt idx="0">
                  <c:v>20697.93</c:v>
                </c:pt>
                <c:pt idx="1">
                  <c:v>8687.9</c:v>
                </c:pt>
              </c:numCache>
            </c:numRef>
          </c:val>
        </c:ser>
        <c:dLbls>
          <c:showLegendKey val="1"/>
          <c:showVal val="1"/>
          <c:showCatName val="1"/>
          <c:showSerName val="0"/>
          <c:showPercent val="1"/>
          <c:showBubbleSize val="0"/>
          <c:showLeaderLines val="1"/>
        </c:dLbls>
        <c:firstSliceAng val="0"/>
      </c:pieChart>
      <c:spPr>
        <a:noFill/>
        <a:ln>
          <a:noFill/>
        </a:ln>
        <a:effectLst/>
      </c:spPr>
    </c:plotArea>
    <c:legend>
      <c:legendPos val="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29462330-4b30-4a45-8116-c3180b5db8fc}"/>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08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solidFill>
          <a:schemeClr val="bg1"/>
        </a:solidFill>
      </a:ln>
      <a:effectLst/>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20</Pages>
  <Words>124</Words>
  <Characters>140</Characters>
  <Lines>246</Lines>
  <Paragraphs>69</Paragraphs>
  <TotalTime>482</TotalTime>
  <ScaleCrop>false</ScaleCrop>
  <LinksUpToDate>false</LinksUpToDate>
  <CharactersWithSpaces>163</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2021-11-01T08:43:00Z</dcterms:created>
  <dc:creator>Richard Meng</dc:creator>
  <cp:lastModifiedBy>❀(๑╯◡╰๑)❀</cp:lastModifiedBy>
  <cp:lastPrinted>2023-01-16T08:04:00Z</cp:lastPrinted>
  <dcterms:modified xsi:type="dcterms:W3CDTF">2026-02-28T08:48:08Z</dcterms:modified>
  <cp:revision>1199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C48EEA34B08147148FED78631F42BEA3_13</vt:lpwstr>
  </property>
  <property fmtid="{D5CDD505-2E9C-101B-9397-08002B2CF9AE}" pid="4" name="KSOTemplateDocerSaveRecord">
    <vt:lpwstr>eyJoZGlkIjoiNjZiNzU3ZTMwYTQ2ODk1NTc4OWVmZTY3YzU0OTUzYzQiLCJ1c2VySWQiOiIyNzIxNTMwNDQifQ==</vt:lpwstr>
  </property>
</Properties>
</file>