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FF727">
      <w:pPr>
        <w:jc w:val="center"/>
        <w:rPr>
          <w:rFonts w:eastAsia="黑体" w:cs="宋体"/>
          <w:b/>
          <w:color w:val="auto"/>
          <w:sz w:val="52"/>
          <w:szCs w:val="52"/>
          <w:highlight w:val="none"/>
          <w:u w:val="none"/>
        </w:rPr>
      </w:pPr>
    </w:p>
    <w:p w14:paraId="551B603A">
      <w:pPr>
        <w:jc w:val="center"/>
        <w:rPr>
          <w:rFonts w:eastAsia="黑体" w:cs="宋体"/>
          <w:b/>
          <w:color w:val="auto"/>
          <w:sz w:val="52"/>
          <w:szCs w:val="52"/>
          <w:highlight w:val="none"/>
          <w:u w:val="none"/>
        </w:rPr>
      </w:pPr>
    </w:p>
    <w:p w14:paraId="1E28567E">
      <w:pPr>
        <w:spacing w:line="600" w:lineRule="exact"/>
        <w:jc w:val="left"/>
        <w:rPr>
          <w:rFonts w:ascii="Arial" w:hAnsi="Arial" w:eastAsia="Symbol"/>
          <w:b/>
          <w:bCs/>
          <w:color w:val="auto"/>
          <w:sz w:val="32"/>
          <w:szCs w:val="32"/>
          <w:highlight w:val="none"/>
          <w:u w:val="none"/>
        </w:rPr>
      </w:pPr>
    </w:p>
    <w:p w14:paraId="3463F91D">
      <w:pPr>
        <w:pStyle w:val="18"/>
        <w:rPr>
          <w:rFonts w:hint="default"/>
          <w:color w:val="auto"/>
          <w:highlight w:val="none"/>
          <w:u w:val="none"/>
        </w:rPr>
      </w:pPr>
    </w:p>
    <w:p w14:paraId="6832D57D">
      <w:pPr>
        <w:spacing w:line="600" w:lineRule="exact"/>
        <w:jc w:val="center"/>
        <w:rPr>
          <w:rFonts w:ascii="Arial" w:hAnsi="Arial" w:eastAsia="宋体"/>
          <w:b/>
          <w:bCs/>
          <w:color w:val="auto"/>
          <w:sz w:val="32"/>
          <w:szCs w:val="32"/>
          <w:highlight w:val="none"/>
          <w:u w:val="none"/>
        </w:rPr>
      </w:pPr>
    </w:p>
    <w:p w14:paraId="1D27E668">
      <w:pPr>
        <w:spacing w:line="600" w:lineRule="exact"/>
        <w:jc w:val="center"/>
        <w:rPr>
          <w:rFonts w:hint="eastAsia" w:ascii="方正小标宋简体" w:hAnsi="方正小标宋简体" w:eastAsia="方正小标宋简体" w:cs="方正小标宋简体"/>
          <w:color w:val="auto"/>
          <w:sz w:val="44"/>
          <w:szCs w:val="44"/>
          <w:highlight w:val="none"/>
          <w:u w:val="none"/>
          <w:lang w:val="en-US" w:eastAsia="zh-CN"/>
        </w:rPr>
      </w:pPr>
    </w:p>
    <w:p w14:paraId="354D0F63">
      <w:pPr>
        <w:keepNext w:val="0"/>
        <w:keepLines w:val="0"/>
        <w:pageBreakBefore w:val="0"/>
        <w:widowControl w:val="0"/>
        <w:kinsoku/>
        <w:wordWrap/>
        <w:overflowPunct/>
        <w:topLinePunct w:val="0"/>
        <w:autoSpaceDE/>
        <w:autoSpaceDN/>
        <w:bidi w:val="0"/>
        <w:spacing w:line="480" w:lineRule="auto"/>
        <w:jc w:val="center"/>
        <w:textAlignment w:val="auto"/>
        <w:rPr>
          <w:rFonts w:hint="default" w:ascii="方正小标宋简体" w:hAnsi="方正小标宋简体" w:eastAsia="方正小标宋简体" w:cs="方正小标宋简体"/>
          <w:b/>
          <w:bCs/>
          <w:color w:val="auto"/>
          <w:sz w:val="44"/>
          <w:szCs w:val="44"/>
          <w:highlight w:val="none"/>
          <w:u w:val="none"/>
          <w:lang w:val="en-US" w:eastAsia="zh-CN"/>
        </w:rPr>
      </w:pPr>
      <w:r>
        <w:rPr>
          <w:rFonts w:hint="eastAsia" w:ascii="方正小标宋简体" w:hAnsi="方正小标宋简体" w:eastAsia="方正小标宋简体" w:cs="方正小标宋简体"/>
          <w:b/>
          <w:bCs/>
          <w:color w:val="auto"/>
          <w:sz w:val="44"/>
          <w:szCs w:val="44"/>
          <w:highlight w:val="none"/>
          <w:u w:val="none"/>
          <w:lang w:val="en-US" w:eastAsia="zh-CN"/>
        </w:rPr>
        <w:t>内蒙古医科大学附属医院</w:t>
      </w:r>
    </w:p>
    <w:p w14:paraId="5932E67B">
      <w:pPr>
        <w:keepNext w:val="0"/>
        <w:keepLines w:val="0"/>
        <w:pageBreakBefore w:val="0"/>
        <w:widowControl w:val="0"/>
        <w:kinsoku/>
        <w:wordWrap/>
        <w:overflowPunct/>
        <w:topLinePunct w:val="0"/>
        <w:autoSpaceDE/>
        <w:autoSpaceDN/>
        <w:bidi w:val="0"/>
        <w:spacing w:line="480" w:lineRule="auto"/>
        <w:jc w:val="center"/>
        <w:textAlignment w:val="auto"/>
        <w:rPr>
          <w:rFonts w:ascii="方正小标宋简体" w:hAnsi="方正小标宋简体" w:eastAsia="方正小标宋简体" w:cs="方正小标宋简体"/>
          <w:color w:val="auto"/>
          <w:sz w:val="44"/>
          <w:szCs w:val="44"/>
          <w:highlight w:val="none"/>
          <w:u w:val="none"/>
        </w:rPr>
      </w:pPr>
      <w:r>
        <w:rPr>
          <w:rFonts w:hint="eastAsia" w:ascii="方正小标宋简体" w:hAnsi="方正小标宋简体" w:eastAsia="方正小标宋简体" w:cs="方正小标宋简体"/>
          <w:color w:val="auto"/>
          <w:sz w:val="44"/>
          <w:szCs w:val="44"/>
          <w:highlight w:val="none"/>
          <w:u w:val="none"/>
          <w:lang w:val="en-US" w:eastAsia="zh-CN"/>
        </w:rPr>
        <w:t>2026</w:t>
      </w:r>
      <w:r>
        <w:rPr>
          <w:rFonts w:hint="eastAsia" w:ascii="方正小标宋简体" w:hAnsi="方正小标宋简体" w:eastAsia="方正小标宋简体" w:cs="方正小标宋简体"/>
          <w:color w:val="auto"/>
          <w:sz w:val="44"/>
          <w:szCs w:val="44"/>
          <w:highlight w:val="none"/>
          <w:u w:val="none"/>
        </w:rPr>
        <w:t>年度</w:t>
      </w:r>
      <w:r>
        <w:rPr>
          <w:rFonts w:hint="eastAsia" w:ascii="方正小标宋简体" w:hAnsi="方正小标宋简体" w:eastAsia="方正小标宋简体" w:cs="方正小标宋简体"/>
          <w:color w:val="auto"/>
          <w:sz w:val="44"/>
          <w:szCs w:val="44"/>
          <w:highlight w:val="none"/>
          <w:u w:val="none"/>
          <w:lang w:val="en-US" w:eastAsia="zh-CN"/>
        </w:rPr>
        <w:t>部门</w:t>
      </w:r>
      <w:r>
        <w:rPr>
          <w:rFonts w:hint="eastAsia" w:ascii="方正小标宋简体" w:hAnsi="方正小标宋简体" w:eastAsia="方正小标宋简体" w:cs="方正小标宋简体"/>
          <w:color w:val="auto"/>
          <w:sz w:val="44"/>
          <w:szCs w:val="44"/>
          <w:highlight w:val="none"/>
          <w:u w:val="none"/>
        </w:rPr>
        <w:t>预算公开</w:t>
      </w:r>
    </w:p>
    <w:p w14:paraId="670D9F5F">
      <w:pPr>
        <w:keepNext w:val="0"/>
        <w:keepLines w:val="0"/>
        <w:pageBreakBefore w:val="0"/>
        <w:widowControl w:val="0"/>
        <w:kinsoku/>
        <w:wordWrap/>
        <w:overflowPunct/>
        <w:topLinePunct w:val="0"/>
        <w:autoSpaceDE/>
        <w:autoSpaceDN/>
        <w:bidi w:val="0"/>
        <w:adjustRightInd w:val="0"/>
        <w:snapToGrid w:val="0"/>
        <w:spacing w:line="480" w:lineRule="auto"/>
        <w:ind w:firstLine="640"/>
        <w:textAlignment w:val="auto"/>
        <w:rPr>
          <w:rFonts w:ascii="Times New Roman" w:hAnsi="Times New Roman" w:eastAsia="仿宋_GB2312"/>
          <w:color w:val="auto"/>
          <w:sz w:val="32"/>
          <w:szCs w:val="32"/>
          <w:highlight w:val="none"/>
          <w:u w:val="none"/>
        </w:rPr>
      </w:pPr>
    </w:p>
    <w:p w14:paraId="7EC4DB5B">
      <w:pPr>
        <w:adjustRightInd w:val="0"/>
        <w:snapToGrid w:val="0"/>
        <w:spacing w:line="600" w:lineRule="exact"/>
        <w:ind w:firstLine="640"/>
        <w:rPr>
          <w:rFonts w:ascii="Times New Roman" w:hAnsi="Times New Roman" w:eastAsia="仿宋_GB2312"/>
          <w:color w:val="auto"/>
          <w:sz w:val="32"/>
          <w:szCs w:val="32"/>
          <w:highlight w:val="none"/>
          <w:u w:val="none"/>
        </w:rPr>
      </w:pPr>
    </w:p>
    <w:p w14:paraId="0CCA2C7C">
      <w:pPr>
        <w:adjustRightInd w:val="0"/>
        <w:snapToGrid w:val="0"/>
        <w:spacing w:line="600" w:lineRule="exact"/>
        <w:rPr>
          <w:rFonts w:ascii="Times New Roman" w:hAnsi="Times New Roman" w:eastAsia="仿宋_GB2312"/>
          <w:color w:val="auto"/>
          <w:sz w:val="32"/>
          <w:szCs w:val="32"/>
          <w:highlight w:val="none"/>
          <w:u w:val="none"/>
        </w:rPr>
      </w:pPr>
    </w:p>
    <w:p w14:paraId="4BB6E39A">
      <w:pPr>
        <w:adjustRightInd w:val="0"/>
        <w:snapToGrid w:val="0"/>
        <w:spacing w:line="600" w:lineRule="exact"/>
        <w:ind w:firstLine="640"/>
        <w:rPr>
          <w:rFonts w:ascii="Times New Roman" w:hAnsi="Times New Roman" w:eastAsia="仿宋_GB2312"/>
          <w:color w:val="auto"/>
          <w:sz w:val="32"/>
          <w:szCs w:val="32"/>
          <w:highlight w:val="none"/>
          <w:u w:val="none"/>
        </w:rPr>
      </w:pPr>
    </w:p>
    <w:p w14:paraId="5460F903">
      <w:pPr>
        <w:adjustRightInd w:val="0"/>
        <w:snapToGrid w:val="0"/>
        <w:spacing w:line="600" w:lineRule="exact"/>
        <w:ind w:firstLine="640"/>
        <w:rPr>
          <w:rFonts w:ascii="Times New Roman" w:hAnsi="Times New Roman" w:eastAsia="仿宋_GB2312"/>
          <w:color w:val="auto"/>
          <w:sz w:val="32"/>
          <w:szCs w:val="32"/>
          <w:highlight w:val="none"/>
          <w:u w:val="none"/>
        </w:rPr>
      </w:pPr>
    </w:p>
    <w:p w14:paraId="28682881">
      <w:pPr>
        <w:adjustRightInd w:val="0"/>
        <w:snapToGrid w:val="0"/>
        <w:spacing w:line="600" w:lineRule="exact"/>
        <w:ind w:firstLine="640"/>
        <w:rPr>
          <w:rFonts w:ascii="Times New Roman" w:hAnsi="Times New Roman" w:eastAsia="仿宋_GB2312"/>
          <w:color w:val="auto"/>
          <w:sz w:val="32"/>
          <w:szCs w:val="32"/>
          <w:highlight w:val="none"/>
          <w:u w:val="none"/>
        </w:rPr>
      </w:pPr>
    </w:p>
    <w:p w14:paraId="57FC1A2C">
      <w:pPr>
        <w:adjustRightInd w:val="0"/>
        <w:snapToGrid w:val="0"/>
        <w:spacing w:line="600" w:lineRule="exact"/>
        <w:ind w:firstLine="640"/>
        <w:rPr>
          <w:rFonts w:ascii="Times New Roman" w:hAnsi="Times New Roman" w:eastAsia="仿宋_GB2312"/>
          <w:color w:val="auto"/>
          <w:sz w:val="32"/>
          <w:szCs w:val="32"/>
          <w:highlight w:val="none"/>
          <w:u w:val="none"/>
        </w:rPr>
      </w:pPr>
    </w:p>
    <w:p w14:paraId="646F86AF">
      <w:pPr>
        <w:adjustRightInd w:val="0"/>
        <w:snapToGrid w:val="0"/>
        <w:spacing w:line="600" w:lineRule="exact"/>
        <w:ind w:firstLine="640"/>
        <w:rPr>
          <w:rFonts w:ascii="Times New Roman" w:hAnsi="Times New Roman" w:eastAsia="仿宋_GB2312"/>
          <w:color w:val="auto"/>
          <w:sz w:val="32"/>
          <w:szCs w:val="32"/>
          <w:highlight w:val="none"/>
          <w:u w:val="none"/>
        </w:rPr>
      </w:pPr>
    </w:p>
    <w:p w14:paraId="0D576180">
      <w:pPr>
        <w:pStyle w:val="18"/>
        <w:spacing w:after="0" w:line="600" w:lineRule="exact"/>
        <w:ind w:left="0" w:leftChars="0" w:firstLine="0"/>
        <w:jc w:val="center"/>
        <w:rPr>
          <w:rFonts w:hint="default" w:ascii="黑体" w:hAnsi="黑体" w:eastAsia="黑体" w:cs="黑体"/>
          <w:color w:val="auto"/>
          <w:highlight w:val="none"/>
          <w:u w:val="none"/>
        </w:rPr>
      </w:pPr>
      <w:r>
        <w:rPr>
          <w:rFonts w:ascii="黑体" w:hAnsi="黑体" w:eastAsia="黑体" w:cs="黑体"/>
          <w:color w:val="auto"/>
          <w:sz w:val="32"/>
          <w:szCs w:val="32"/>
          <w:highlight w:val="none"/>
          <w:u w:val="none"/>
        </w:rPr>
        <w:t xml:space="preserve">批复时间： </w:t>
      </w:r>
      <w:r>
        <w:rPr>
          <w:rFonts w:hint="eastAsia" w:ascii="黑体" w:hAnsi="黑体" w:eastAsia="黑体" w:cs="黑体"/>
          <w:color w:val="auto"/>
          <w:sz w:val="32"/>
          <w:szCs w:val="32"/>
          <w:highlight w:val="none"/>
          <w:u w:val="none"/>
          <w:lang w:val="en-US" w:eastAsia="zh-CN"/>
        </w:rPr>
        <w:t xml:space="preserve"> 2026</w:t>
      </w:r>
      <w:r>
        <w:rPr>
          <w:rFonts w:ascii="黑体" w:hAnsi="黑体" w:eastAsia="黑体" w:cs="黑体"/>
          <w:color w:val="auto"/>
          <w:sz w:val="32"/>
          <w:szCs w:val="32"/>
          <w:highlight w:val="none"/>
          <w:u w:val="none"/>
        </w:rPr>
        <w:t xml:space="preserve"> 年 </w:t>
      </w:r>
      <w:r>
        <w:rPr>
          <w:rFonts w:hint="eastAsia" w:ascii="黑体" w:hAnsi="黑体" w:eastAsia="黑体" w:cs="黑体"/>
          <w:color w:val="auto"/>
          <w:sz w:val="32"/>
          <w:szCs w:val="32"/>
          <w:highlight w:val="none"/>
          <w:u w:val="none"/>
          <w:lang w:val="en-US" w:eastAsia="zh-CN"/>
        </w:rPr>
        <w:t>2</w:t>
      </w:r>
      <w:r>
        <w:rPr>
          <w:rFonts w:ascii="黑体" w:hAnsi="黑体" w:eastAsia="黑体" w:cs="黑体"/>
          <w:color w:val="auto"/>
          <w:sz w:val="32"/>
          <w:szCs w:val="32"/>
          <w:highlight w:val="none"/>
          <w:u w:val="none"/>
        </w:rPr>
        <w:t xml:space="preserve">月 </w:t>
      </w:r>
      <w:r>
        <w:rPr>
          <w:rFonts w:hint="eastAsia" w:ascii="黑体" w:hAnsi="黑体" w:eastAsia="黑体" w:cs="黑体"/>
          <w:color w:val="auto"/>
          <w:sz w:val="32"/>
          <w:szCs w:val="32"/>
          <w:highlight w:val="none"/>
          <w:u w:val="none"/>
          <w:lang w:val="en-US" w:eastAsia="zh-CN"/>
        </w:rPr>
        <w:t>24</w:t>
      </w:r>
      <w:r>
        <w:rPr>
          <w:rFonts w:ascii="黑体" w:hAnsi="黑体" w:eastAsia="黑体" w:cs="黑体"/>
          <w:color w:val="auto"/>
          <w:sz w:val="32"/>
          <w:szCs w:val="32"/>
          <w:highlight w:val="none"/>
          <w:u w:val="none"/>
        </w:rPr>
        <w:t xml:space="preserve"> 日</w:t>
      </w:r>
    </w:p>
    <w:p w14:paraId="566D3138">
      <w:pPr>
        <w:pStyle w:val="18"/>
        <w:spacing w:after="0" w:line="600" w:lineRule="exact"/>
        <w:ind w:left="0" w:leftChars="0" w:firstLine="0"/>
        <w:jc w:val="center"/>
        <w:rPr>
          <w:rFonts w:hint="default" w:ascii="黑体" w:hAnsi="黑体" w:eastAsia="黑体" w:cs="黑体"/>
          <w:color w:val="auto"/>
          <w:highlight w:val="none"/>
          <w:u w:val="none"/>
        </w:rPr>
      </w:pPr>
      <w:r>
        <w:rPr>
          <w:rFonts w:ascii="黑体" w:hAnsi="黑体" w:eastAsia="黑体" w:cs="黑体"/>
          <w:color w:val="auto"/>
          <w:sz w:val="32"/>
          <w:szCs w:val="32"/>
          <w:highlight w:val="none"/>
          <w:u w:val="none"/>
        </w:rPr>
        <w:t xml:space="preserve">公开时间： </w:t>
      </w:r>
      <w:r>
        <w:rPr>
          <w:rFonts w:hint="eastAsia" w:ascii="黑体" w:hAnsi="黑体" w:eastAsia="黑体" w:cs="黑体"/>
          <w:color w:val="auto"/>
          <w:sz w:val="32"/>
          <w:szCs w:val="32"/>
          <w:highlight w:val="none"/>
          <w:u w:val="none"/>
          <w:lang w:val="en-US" w:eastAsia="zh-CN"/>
        </w:rPr>
        <w:t xml:space="preserve"> 2026</w:t>
      </w:r>
      <w:r>
        <w:rPr>
          <w:rFonts w:ascii="黑体" w:hAnsi="黑体" w:eastAsia="黑体" w:cs="黑体"/>
          <w:color w:val="auto"/>
          <w:sz w:val="32"/>
          <w:szCs w:val="32"/>
          <w:highlight w:val="none"/>
          <w:u w:val="none"/>
        </w:rPr>
        <w:t xml:space="preserve">年 </w:t>
      </w:r>
      <w:r>
        <w:rPr>
          <w:rFonts w:hint="eastAsia" w:ascii="黑体" w:hAnsi="黑体" w:eastAsia="黑体" w:cs="黑体"/>
          <w:color w:val="auto"/>
          <w:sz w:val="32"/>
          <w:szCs w:val="32"/>
          <w:highlight w:val="none"/>
          <w:u w:val="none"/>
          <w:lang w:val="en-US" w:eastAsia="zh-CN"/>
        </w:rPr>
        <w:t>3</w:t>
      </w:r>
      <w:r>
        <w:rPr>
          <w:rFonts w:ascii="黑体" w:hAnsi="黑体" w:eastAsia="黑体" w:cs="黑体"/>
          <w:color w:val="auto"/>
          <w:sz w:val="32"/>
          <w:szCs w:val="32"/>
          <w:highlight w:val="none"/>
          <w:u w:val="none"/>
        </w:rPr>
        <w:t xml:space="preserve"> 月</w:t>
      </w:r>
      <w:r>
        <w:rPr>
          <w:rFonts w:hint="eastAsia" w:ascii="黑体" w:hAnsi="黑体" w:eastAsia="黑体" w:cs="黑体"/>
          <w:color w:val="auto"/>
          <w:sz w:val="32"/>
          <w:szCs w:val="32"/>
          <w:highlight w:val="none"/>
          <w:u w:val="none"/>
          <w:lang w:val="en-US" w:eastAsia="zh-CN"/>
        </w:rPr>
        <w:t xml:space="preserve"> 12 </w:t>
      </w:r>
      <w:r>
        <w:rPr>
          <w:rFonts w:ascii="黑体" w:hAnsi="黑体" w:eastAsia="黑体" w:cs="黑体"/>
          <w:color w:val="auto"/>
          <w:sz w:val="32"/>
          <w:szCs w:val="32"/>
          <w:highlight w:val="none"/>
          <w:u w:val="none"/>
        </w:rPr>
        <w:t>日</w:t>
      </w:r>
    </w:p>
    <w:p w14:paraId="2F0BD5F9">
      <w:pPr>
        <w:pageBreakBefore/>
        <w:tabs>
          <w:tab w:val="left" w:pos="4533"/>
        </w:tabs>
        <w:adjustRightInd w:val="0"/>
        <w:snapToGrid w:val="0"/>
        <w:spacing w:line="600" w:lineRule="exact"/>
        <w:jc w:val="center"/>
        <w:rPr>
          <w:color w:val="auto"/>
          <w:sz w:val="44"/>
          <w:szCs w:val="44"/>
          <w:highlight w:val="none"/>
          <w:u w:val="none"/>
        </w:rPr>
      </w:pPr>
      <w:r>
        <w:rPr>
          <w:color w:val="auto"/>
          <w:sz w:val="44"/>
          <w:szCs w:val="44"/>
          <w:highlight w:val="none"/>
          <w:u w:val="none"/>
        </w:rPr>
        <w:t>目</w:t>
      </w:r>
      <w:r>
        <w:rPr>
          <w:rFonts w:hint="eastAsia" w:eastAsia="宋体"/>
          <w:color w:val="auto"/>
          <w:sz w:val="44"/>
          <w:szCs w:val="44"/>
          <w:highlight w:val="none"/>
          <w:u w:val="none"/>
        </w:rPr>
        <w:t xml:space="preserve">  </w:t>
      </w:r>
      <w:r>
        <w:rPr>
          <w:rFonts w:hint="eastAsia"/>
          <w:color w:val="auto"/>
          <w:sz w:val="44"/>
          <w:szCs w:val="44"/>
          <w:highlight w:val="none"/>
          <w:u w:val="none"/>
        </w:rPr>
        <w:t xml:space="preserve">  </w:t>
      </w:r>
      <w:r>
        <w:rPr>
          <w:color w:val="auto"/>
          <w:sz w:val="44"/>
          <w:szCs w:val="44"/>
          <w:highlight w:val="none"/>
          <w:u w:val="none"/>
        </w:rPr>
        <w:t>录</w:t>
      </w:r>
    </w:p>
    <w:p w14:paraId="17D95FC7">
      <w:pPr>
        <w:rPr>
          <w:color w:val="auto"/>
          <w:highlight w:val="none"/>
          <w:u w:val="none"/>
        </w:rPr>
      </w:pPr>
    </w:p>
    <w:p w14:paraId="48574043">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第一部分 部门（单位）概况</w:t>
      </w:r>
    </w:p>
    <w:p w14:paraId="078A5531">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一、主要职能、职责</w:t>
      </w:r>
    </w:p>
    <w:p w14:paraId="1716D7ED">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二、部门（单位）机构设置及预算单位构成情况</w:t>
      </w:r>
    </w:p>
    <w:p w14:paraId="1CAF987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三、</w:t>
      </w:r>
      <w:r>
        <w:rPr>
          <w:rFonts w:hint="eastAsia" w:ascii="仿宋_GB2312" w:hAnsi="仿宋_GB2312" w:eastAsia="仿宋_GB2312" w:cs="仿宋"/>
          <w:color w:val="auto"/>
          <w:sz w:val="32"/>
          <w:szCs w:val="32"/>
          <w:highlight w:val="none"/>
          <w:u w:val="none"/>
          <w:lang w:val="en-US" w:eastAsia="zh-CN"/>
        </w:rPr>
        <w:t>2026</w:t>
      </w:r>
      <w:r>
        <w:rPr>
          <w:rFonts w:hint="eastAsia" w:ascii="Times New Roman" w:hAnsi="Times New Roman" w:eastAsia="仿宋_GB2312" w:cs="仿宋"/>
          <w:color w:val="auto"/>
          <w:sz w:val="32"/>
          <w:szCs w:val="32"/>
          <w:highlight w:val="none"/>
          <w:u w:val="none"/>
        </w:rPr>
        <w:t>年度部门（单位）主要工作任务及目标</w:t>
      </w:r>
    </w:p>
    <w:p w14:paraId="3F611BEF">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 xml:space="preserve">第二部分 </w:t>
      </w:r>
      <w:r>
        <w:rPr>
          <w:rFonts w:hint="eastAsia" w:ascii="黑体" w:hAnsi="黑体" w:eastAsia="黑体" w:cs="黑体"/>
          <w:color w:val="auto"/>
          <w:sz w:val="32"/>
          <w:szCs w:val="32"/>
          <w:highlight w:val="none"/>
          <w:u w:val="none"/>
          <w:lang w:val="en-US" w:eastAsia="zh-CN"/>
        </w:rPr>
        <w:t>2025</w:t>
      </w:r>
      <w:r>
        <w:rPr>
          <w:rFonts w:hint="eastAsia" w:ascii="黑体" w:hAnsi="黑体" w:eastAsia="黑体" w:cs="黑体"/>
          <w:color w:val="auto"/>
          <w:sz w:val="32"/>
          <w:szCs w:val="32"/>
          <w:highlight w:val="none"/>
          <w:u w:val="none"/>
        </w:rPr>
        <w:t>年度部门（单位）预算情况说明</w:t>
      </w:r>
    </w:p>
    <w:p w14:paraId="2345A4AE">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一、收支预算总体情况说明</w:t>
      </w:r>
    </w:p>
    <w:p w14:paraId="3B641374">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二、收入预算情况说明</w:t>
      </w:r>
    </w:p>
    <w:p w14:paraId="47DEDCDF">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三、支出预算情况说明</w:t>
      </w:r>
    </w:p>
    <w:p w14:paraId="2A9CC83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四、财政拨款收支预算总体情况说明</w:t>
      </w:r>
    </w:p>
    <w:p w14:paraId="36D2E1C1">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五、一般公共预算支出预算情况说明</w:t>
      </w:r>
    </w:p>
    <w:p w14:paraId="50C823E5">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六、一般公共预算基本支出预算情况说明</w:t>
      </w:r>
    </w:p>
    <w:p w14:paraId="427E10F9">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七、一般公共预算“三公”经费支出预算情况说明</w:t>
      </w:r>
    </w:p>
    <w:p w14:paraId="723EEE8D">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八、政府性基金预算支出预算情况说明</w:t>
      </w:r>
    </w:p>
    <w:p w14:paraId="161C5321">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九、国有资本经营预算支出预算情况说明</w:t>
      </w:r>
    </w:p>
    <w:p w14:paraId="0F7873BF">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十、项目支出预算情况说明</w:t>
      </w:r>
    </w:p>
    <w:p w14:paraId="7E1B2250">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十一、</w:t>
      </w:r>
      <w:r>
        <w:rPr>
          <w:rFonts w:hint="eastAsia" w:ascii="Times New Roman" w:hAnsi="Times New Roman" w:eastAsia="仿宋_GB2312" w:cs="仿宋"/>
          <w:color w:val="auto"/>
          <w:sz w:val="32"/>
          <w:szCs w:val="32"/>
          <w:highlight w:val="none"/>
          <w:u w:val="none"/>
          <w:lang w:val="en-US" w:eastAsia="zh-CN"/>
        </w:rPr>
        <w:t>机构</w:t>
      </w:r>
      <w:r>
        <w:rPr>
          <w:rFonts w:hint="eastAsia" w:ascii="Times New Roman" w:hAnsi="Times New Roman" w:eastAsia="仿宋_GB2312" w:cs="仿宋"/>
          <w:color w:val="auto"/>
          <w:sz w:val="32"/>
          <w:szCs w:val="32"/>
          <w:highlight w:val="none"/>
          <w:u w:val="none"/>
        </w:rPr>
        <w:t>运行经费支出预算情况说明</w:t>
      </w:r>
    </w:p>
    <w:p w14:paraId="62907CAD">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十二、政府采购支出预算情况说明</w:t>
      </w:r>
    </w:p>
    <w:p w14:paraId="5C8E8B7C">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十三、国有资产占用情况说明</w:t>
      </w:r>
    </w:p>
    <w:p w14:paraId="54FA6E92">
      <w:pPr>
        <w:widowControl/>
        <w:spacing w:line="600" w:lineRule="exact"/>
        <w:jc w:val="lef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 xml:space="preserve">十四、项目绩效目标情况说明 </w:t>
      </w:r>
    </w:p>
    <w:p w14:paraId="03E9FA63">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第三部分 名词解释</w:t>
      </w:r>
    </w:p>
    <w:p w14:paraId="12E4B7C3">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第四部分 预算公开联系方式及信息反馈渠道</w:t>
      </w:r>
    </w:p>
    <w:p w14:paraId="6CDA9DA5">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 xml:space="preserve">第五部分 </w:t>
      </w:r>
      <w:r>
        <w:rPr>
          <w:rFonts w:hint="eastAsia" w:ascii="黑体" w:hAnsi="黑体" w:eastAsia="黑体" w:cs="黑体"/>
          <w:color w:val="auto"/>
          <w:sz w:val="32"/>
          <w:szCs w:val="32"/>
          <w:highlight w:val="none"/>
          <w:u w:val="none"/>
          <w:lang w:val="en-US" w:eastAsia="zh-CN"/>
        </w:rPr>
        <w:t>2025</w:t>
      </w:r>
      <w:r>
        <w:rPr>
          <w:rFonts w:hint="eastAsia" w:ascii="黑体" w:hAnsi="黑体" w:eastAsia="黑体" w:cs="黑体"/>
          <w:color w:val="auto"/>
          <w:sz w:val="32"/>
          <w:szCs w:val="32"/>
          <w:highlight w:val="none"/>
          <w:u w:val="none"/>
        </w:rPr>
        <w:t>年度部门（单位）预算表</w:t>
      </w:r>
    </w:p>
    <w:p w14:paraId="71858DA5">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一、收支总表</w:t>
      </w:r>
    </w:p>
    <w:p w14:paraId="2B7A7FB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二、收入总表</w:t>
      </w:r>
    </w:p>
    <w:p w14:paraId="0870820E">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三、支出总表</w:t>
      </w:r>
    </w:p>
    <w:p w14:paraId="403F28C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四、财政拨款收支总表</w:t>
      </w:r>
    </w:p>
    <w:p w14:paraId="16B87146">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五、一般公共预算支出表</w:t>
      </w:r>
    </w:p>
    <w:p w14:paraId="67569466">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六、一般公共预算基本支出表</w:t>
      </w:r>
    </w:p>
    <w:p w14:paraId="07E7644F">
      <w:pPr>
        <w:pStyle w:val="8"/>
        <w:spacing w:after="0" w:line="600" w:lineRule="exact"/>
        <w:rPr>
          <w:rFonts w:ascii="Times New Roman" w:hAnsi="Times New Roman" w:eastAsia="仿宋_GB2312" w:cs="仿宋"/>
          <w:color w:val="auto"/>
          <w:spacing w:val="-16"/>
          <w:w w:val="95"/>
          <w:sz w:val="32"/>
          <w:szCs w:val="32"/>
          <w:highlight w:val="none"/>
          <w:u w:val="none"/>
        </w:rPr>
      </w:pPr>
      <w:r>
        <w:rPr>
          <w:rFonts w:hint="eastAsia" w:ascii="Times New Roman" w:hAnsi="Times New Roman" w:eastAsia="仿宋_GB2312" w:cs="仿宋"/>
          <w:color w:val="auto"/>
          <w:spacing w:val="-17"/>
          <w:w w:val="95"/>
          <w:sz w:val="32"/>
          <w:szCs w:val="32"/>
          <w:highlight w:val="none"/>
          <w:u w:val="none"/>
        </w:rPr>
        <w:t>七、一般公共预算</w:t>
      </w:r>
      <w:r>
        <w:rPr>
          <w:rFonts w:hint="eastAsia" w:ascii="Times New Roman" w:hAnsi="Times New Roman" w:eastAsia="仿宋_GB2312" w:cs="仿宋"/>
          <w:color w:val="auto"/>
          <w:spacing w:val="-8"/>
          <w:w w:val="95"/>
          <w:sz w:val="32"/>
          <w:szCs w:val="32"/>
          <w:highlight w:val="none"/>
          <w:u w:val="none"/>
        </w:rPr>
        <w:t>“</w:t>
      </w:r>
      <w:r>
        <w:rPr>
          <w:rFonts w:hint="eastAsia" w:ascii="Times New Roman" w:hAnsi="Times New Roman" w:eastAsia="仿宋_GB2312" w:cs="仿宋"/>
          <w:color w:val="auto"/>
          <w:spacing w:val="-15"/>
          <w:w w:val="95"/>
          <w:sz w:val="32"/>
          <w:szCs w:val="32"/>
          <w:highlight w:val="none"/>
          <w:u w:val="none"/>
        </w:rPr>
        <w:t>三公</w:t>
      </w:r>
      <w:r>
        <w:rPr>
          <w:rFonts w:hint="eastAsia" w:ascii="Times New Roman" w:hAnsi="Times New Roman" w:eastAsia="仿宋_GB2312" w:cs="仿宋"/>
          <w:color w:val="auto"/>
          <w:spacing w:val="-10"/>
          <w:w w:val="95"/>
          <w:sz w:val="32"/>
          <w:szCs w:val="32"/>
          <w:highlight w:val="none"/>
          <w:u w:val="none"/>
        </w:rPr>
        <w:t>”</w:t>
      </w:r>
      <w:r>
        <w:rPr>
          <w:rFonts w:hint="eastAsia" w:ascii="Times New Roman" w:hAnsi="Times New Roman" w:eastAsia="仿宋_GB2312" w:cs="仿宋"/>
          <w:color w:val="auto"/>
          <w:spacing w:val="-16"/>
          <w:w w:val="95"/>
          <w:sz w:val="32"/>
          <w:szCs w:val="32"/>
          <w:highlight w:val="none"/>
          <w:u w:val="none"/>
        </w:rPr>
        <w:t>经费支出表</w:t>
      </w:r>
    </w:p>
    <w:p w14:paraId="38527B98">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pacing w:val="-16"/>
          <w:w w:val="95"/>
          <w:sz w:val="32"/>
          <w:szCs w:val="32"/>
          <w:highlight w:val="none"/>
          <w:u w:val="none"/>
        </w:rPr>
        <w:t>八、政府性基金预算支出表</w:t>
      </w:r>
    </w:p>
    <w:p w14:paraId="2BEBFC4F">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九、国有资本经营预算支出表</w:t>
      </w:r>
    </w:p>
    <w:p w14:paraId="672EE524">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十、项目支出表</w:t>
      </w:r>
    </w:p>
    <w:p w14:paraId="71A9DA8B">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十一、项目绩效目标表</w:t>
      </w:r>
    </w:p>
    <w:p w14:paraId="4AB49D14">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十二、政府采购预算表</w:t>
      </w:r>
    </w:p>
    <w:p w14:paraId="41CF4525">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bookmarkStart w:id="0" w:name="_Toc30742"/>
    </w:p>
    <w:p w14:paraId="660F63AC">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715C1658">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4FEC94A4">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52719B05">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4D01D976">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6FC41C3C">
      <w:pPr>
        <w:rPr>
          <w:rFonts w:hint="eastAsia" w:ascii="方正小标宋简体" w:hAnsi="方正小标宋简体" w:eastAsia="方正小标宋简体" w:cs="方正小标宋简体"/>
          <w:b w:val="0"/>
          <w:bCs w:val="0"/>
          <w:color w:val="auto"/>
          <w:sz w:val="36"/>
          <w:szCs w:val="36"/>
          <w:highlight w:val="none"/>
          <w:u w:val="none"/>
        </w:rPr>
      </w:pPr>
    </w:p>
    <w:p w14:paraId="76E0F95E">
      <w:pPr>
        <w:rPr>
          <w:rFonts w:hint="eastAsia" w:ascii="方正小标宋简体" w:hAnsi="方正小标宋简体" w:eastAsia="方正小标宋简体" w:cs="方正小标宋简体"/>
          <w:b w:val="0"/>
          <w:bCs w:val="0"/>
          <w:color w:val="auto"/>
          <w:sz w:val="36"/>
          <w:szCs w:val="36"/>
          <w:highlight w:val="none"/>
          <w:u w:val="none"/>
        </w:rPr>
      </w:pPr>
    </w:p>
    <w:p w14:paraId="603CE835">
      <w:pPr>
        <w:rPr>
          <w:rFonts w:hint="eastAsia" w:ascii="方正小标宋简体" w:hAnsi="方正小标宋简体" w:eastAsia="方正小标宋简体" w:cs="方正小标宋简体"/>
          <w:b w:val="0"/>
          <w:bCs w:val="0"/>
          <w:color w:val="auto"/>
          <w:sz w:val="36"/>
          <w:szCs w:val="36"/>
          <w:highlight w:val="none"/>
          <w:u w:val="none"/>
        </w:rPr>
      </w:pPr>
    </w:p>
    <w:p w14:paraId="2C016BC1">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5B10DD6B">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r>
        <w:rPr>
          <w:rFonts w:hint="eastAsia" w:ascii="方正小标宋简体" w:hAnsi="方正小标宋简体" w:eastAsia="方正小标宋简体" w:cs="方正小标宋简体"/>
          <w:b w:val="0"/>
          <w:bCs w:val="0"/>
          <w:color w:val="auto"/>
          <w:sz w:val="36"/>
          <w:szCs w:val="36"/>
          <w:highlight w:val="none"/>
          <w:u w:val="none"/>
        </w:rPr>
        <w:t>第一部分  部门（单位）概况</w:t>
      </w:r>
      <w:bookmarkEnd w:id="0"/>
    </w:p>
    <w:p w14:paraId="5F0C04F3">
      <w:pPr>
        <w:spacing w:line="600" w:lineRule="exact"/>
        <w:rPr>
          <w:rFonts w:ascii="方正小标宋简体" w:hAnsi="方正小标宋简体" w:eastAsia="方正小标宋简体" w:cs="方正小标宋简体"/>
          <w:color w:val="auto"/>
          <w:sz w:val="36"/>
          <w:szCs w:val="36"/>
          <w:highlight w:val="none"/>
          <w:u w:val="none"/>
        </w:rPr>
      </w:pPr>
    </w:p>
    <w:p w14:paraId="15966E3F">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eastAsia="黑体" w:cs="黑体"/>
          <w:color w:val="auto"/>
          <w:sz w:val="32"/>
          <w:szCs w:val="36"/>
          <w:highlight w:val="none"/>
          <w:u w:val="none"/>
        </w:rPr>
        <w:t>主要职能职责</w:t>
      </w:r>
    </w:p>
    <w:p w14:paraId="05AB285D">
      <w:pPr>
        <w:numPr>
          <w:ilvl w:val="0"/>
          <w:numId w:val="0"/>
        </w:numPr>
        <w:spacing w:line="600" w:lineRule="exact"/>
        <w:ind w:leftChars="203"/>
        <w:outlineLvl w:val="2"/>
        <w:rPr>
          <w:rFonts w:hint="default" w:eastAsia="黑体" w:cs="黑体"/>
          <w:color w:val="auto"/>
          <w:sz w:val="32"/>
          <w:szCs w:val="36"/>
          <w:highlight w:val="none"/>
          <w:u w:val="none"/>
          <w:lang w:val="en-US" w:eastAsia="zh-CN"/>
        </w:rPr>
      </w:pPr>
      <w:r>
        <w:rPr>
          <w:rFonts w:hint="eastAsia" w:eastAsia="黑体" w:cs="黑体"/>
          <w:color w:val="auto"/>
          <w:sz w:val="32"/>
          <w:szCs w:val="36"/>
          <w:highlight w:val="none"/>
          <w:u w:val="none"/>
          <w:lang w:eastAsia="zh-CN"/>
        </w:rPr>
        <w:t>（</w:t>
      </w:r>
      <w:r>
        <w:rPr>
          <w:rFonts w:hint="eastAsia" w:eastAsia="黑体" w:cs="黑体"/>
          <w:color w:val="auto"/>
          <w:sz w:val="32"/>
          <w:szCs w:val="36"/>
          <w:highlight w:val="none"/>
          <w:u w:val="none"/>
          <w:lang w:val="en-US" w:eastAsia="zh-CN"/>
        </w:rPr>
        <w:t>一</w:t>
      </w:r>
      <w:r>
        <w:rPr>
          <w:rFonts w:hint="eastAsia" w:eastAsia="黑体" w:cs="黑体"/>
          <w:color w:val="auto"/>
          <w:sz w:val="32"/>
          <w:szCs w:val="36"/>
          <w:highlight w:val="none"/>
          <w:u w:val="none"/>
          <w:lang w:eastAsia="zh-CN"/>
        </w:rPr>
        <w:t>）</w:t>
      </w:r>
      <w:r>
        <w:rPr>
          <w:rFonts w:hint="eastAsia" w:eastAsia="黑体" w:cs="黑体"/>
          <w:color w:val="auto"/>
          <w:sz w:val="32"/>
          <w:szCs w:val="36"/>
          <w:highlight w:val="none"/>
          <w:u w:val="none"/>
          <w:lang w:val="en-US" w:eastAsia="zh-CN"/>
        </w:rPr>
        <w:t>部门职能</w:t>
      </w:r>
    </w:p>
    <w:p w14:paraId="5A26CB00">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蒙古医科大学附属医院是一所集医疗、教学、科研、预防、保健、康复和急救于一体的现代化三级甲等综合医院，是内蒙古医科大学最早建立的直属附属医院和第一临床学院，是自治区最早建立的综合性医院之一，也是自治区重要的医疗教学实践基地、医疗卫生人才培养基地和临床医学研究中心。</w:t>
      </w:r>
    </w:p>
    <w:p w14:paraId="513BE312">
      <w:pPr>
        <w:numPr>
          <w:ilvl w:val="0"/>
          <w:numId w:val="2"/>
        </w:numPr>
        <w:spacing w:line="600" w:lineRule="exact"/>
        <w:ind w:leftChars="203"/>
        <w:outlineLvl w:val="2"/>
        <w:rPr>
          <w:rFonts w:hint="eastAsia" w:eastAsia="黑体" w:cs="黑体"/>
          <w:color w:val="auto"/>
          <w:sz w:val="32"/>
          <w:szCs w:val="36"/>
          <w:highlight w:val="none"/>
          <w:u w:val="none"/>
          <w:lang w:val="en-US" w:eastAsia="zh-CN"/>
        </w:rPr>
      </w:pPr>
      <w:r>
        <w:rPr>
          <w:rFonts w:hint="eastAsia" w:eastAsia="黑体" w:cs="黑体"/>
          <w:color w:val="auto"/>
          <w:sz w:val="32"/>
          <w:szCs w:val="36"/>
          <w:highlight w:val="none"/>
          <w:u w:val="none"/>
          <w:lang w:val="en-US" w:eastAsia="zh-CN"/>
        </w:rPr>
        <w:t>部门主要职责</w:t>
      </w:r>
    </w:p>
    <w:p w14:paraId="5322B6CF">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内蒙古医科大学附属医院的主要职责：</w:t>
      </w:r>
    </w:p>
    <w:p w14:paraId="76F43B53">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1.贯彻执行新时期党的卫生健康工作方针，贯彻落实上级党委、政府和内蒙古医科大学的工作部署和要求。</w:t>
      </w:r>
    </w:p>
    <w:p w14:paraId="6D659F69">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2.为人民群众提供医疗、预防、保健、健康教育和公共卫生服务，不断提高医疗质量，确保医疗安全。</w:t>
      </w:r>
    </w:p>
    <w:p w14:paraId="19A3F6D0">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3.保障内蒙古医科大学临床理论教学和实践教学的顺利进行。承担教学医院、住院医师规范化培训、继续医学教育等职责。</w:t>
      </w:r>
    </w:p>
    <w:p w14:paraId="75888037">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4.开展对外交流和合作，承担涉外医疗服务。</w:t>
      </w:r>
    </w:p>
    <w:p w14:paraId="1BBDA4BB">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5.承担上级部门指令性医疗服务、突发公共事件的医疗卫生救助、公共卫生以及重大活动医疗保障等任务。</w:t>
      </w:r>
    </w:p>
    <w:p w14:paraId="013E9C82">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6.开展援外医疗、对口帮扶、扶贫义诊、送医下乡等健康扶贫工作，并将扶贫资金纳入年度预算。</w:t>
      </w:r>
    </w:p>
    <w:p w14:paraId="696D2835">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7.承担上级党委、政府有关部门和内蒙古医科大学交办的其它事项。</w:t>
      </w:r>
    </w:p>
    <w:p w14:paraId="438363B5">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8.医院接受上级党委和政府有关部门的业务指导和监督管理。并承担以下社会责任和义务：</w:t>
      </w:r>
    </w:p>
    <w:p w14:paraId="313C4F6C">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（1）医院全面参与全民医保制度建设，落实社会医疗保险政策，积极推动异地就医直接结算，为患者提供更加方便、更多层次医疗健康保险服务。</w:t>
      </w:r>
    </w:p>
    <w:p w14:paraId="27AB2704">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（2）医院积极开展医学科学研究，推动医学科技成果转化，建设药械临床试验平台，支持创新服务产品，促进医学科技进步。</w:t>
      </w:r>
    </w:p>
    <w:p w14:paraId="2DC03234">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（3）医院按照规定加强与党政机关、企事业单位、社会组织的沟通、联系与合作，落实社会责任，推动健康内蒙古建设。</w:t>
      </w:r>
    </w:p>
    <w:p w14:paraId="7E05B147">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rPr>
        <w:t>（4）医院不参与企业营利性经营活动，不设立“院中院”，不进行科室承包。</w:t>
      </w:r>
    </w:p>
    <w:p w14:paraId="7BB76139">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eastAsia="黑体" w:cs="黑体"/>
          <w:color w:val="auto"/>
          <w:sz w:val="32"/>
          <w:szCs w:val="36"/>
          <w:highlight w:val="none"/>
          <w:u w:val="none"/>
        </w:rPr>
        <w:t>部门（单位）机构设置及预算单位构成情况</w:t>
      </w:r>
    </w:p>
    <w:p w14:paraId="3B61CDD8">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lang w:val="en-US" w:eastAsia="zh-CN"/>
        </w:rPr>
        <w:t>二</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内蒙古医科大学附属医院机构设置</w:t>
      </w:r>
    </w:p>
    <w:p w14:paraId="7FB8316C">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医院依据相关法律、法规和规章，结合医院宗旨、发展目标、业务范围和实际需要，本着精简、高效、统一的原则，设立行政职能</w:t>
      </w:r>
      <w:r>
        <w:rPr>
          <w:rFonts w:hint="eastAsia" w:eastAsia="仿宋_GB2312" w:cstheme="minorBidi"/>
          <w:color w:val="auto"/>
          <w:sz w:val="32"/>
          <w:szCs w:val="32"/>
          <w:highlight w:val="none"/>
          <w:u w:val="none"/>
          <w:lang w:val="en-US" w:eastAsia="zh-CN"/>
        </w:rPr>
        <w:t>处室</w:t>
      </w:r>
      <w:r>
        <w:rPr>
          <w:rFonts w:hint="eastAsia" w:eastAsia="仿宋_GB2312" w:cstheme="minorBidi"/>
          <w:color w:val="auto"/>
          <w:sz w:val="32"/>
          <w:szCs w:val="32"/>
          <w:highlight w:val="none"/>
          <w:u w:val="none"/>
        </w:rPr>
        <w:t>和临床医技科室。</w:t>
      </w:r>
    </w:p>
    <w:p w14:paraId="0D66D24E">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行政职能</w:t>
      </w:r>
      <w:r>
        <w:rPr>
          <w:rFonts w:hint="eastAsia" w:eastAsia="仿宋_GB2312" w:cstheme="minorBidi"/>
          <w:color w:val="auto"/>
          <w:sz w:val="32"/>
          <w:szCs w:val="32"/>
          <w:highlight w:val="none"/>
          <w:u w:val="none"/>
          <w:lang w:val="en-US" w:eastAsia="zh-CN"/>
        </w:rPr>
        <w:t>处室</w:t>
      </w:r>
      <w:r>
        <w:rPr>
          <w:rFonts w:hint="eastAsia" w:eastAsia="仿宋_GB2312" w:cstheme="minorBidi"/>
          <w:color w:val="auto"/>
          <w:sz w:val="32"/>
          <w:szCs w:val="32"/>
          <w:highlight w:val="none"/>
          <w:u w:val="none"/>
        </w:rPr>
        <w:t>主要职责：执行医院管理决定；细化、落实医院在医疗、教学、科研、护理等方面的管理制度；为医院业务发展及学科建设提供决策依据与管理支持。</w:t>
      </w:r>
    </w:p>
    <w:p w14:paraId="325BF496">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临床医技科室主要职责：依法组织开展学科范围内的相关医疗执业活动，为患者提供诊疗、护理、康复和健康咨询等服务；负责提高本科室质量管理和病人服务水平；开展学科建设、医学教育、人才培养和科研工作；承担医院交办的其他工作。</w:t>
      </w:r>
    </w:p>
    <w:p w14:paraId="4A6F68B4">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医院实行院、</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val="en-US" w:eastAsia="zh-CN"/>
        </w:rPr>
        <w:t>三</w:t>
      </w:r>
      <w:r>
        <w:rPr>
          <w:rFonts w:hint="eastAsia" w:eastAsia="仿宋_GB2312" w:cstheme="minorBidi"/>
          <w:color w:val="auto"/>
          <w:sz w:val="32"/>
          <w:szCs w:val="32"/>
          <w:highlight w:val="none"/>
          <w:u w:val="none"/>
        </w:rPr>
        <w:t>级管理责任制。医院本着责、权、利相统一的原则，在人、财、物等方面明确科室相应的管理权限，指导和监督</w:t>
      </w:r>
      <w:r>
        <w:rPr>
          <w:rFonts w:hint="eastAsia" w:eastAsia="仿宋_GB2312" w:cstheme="minorBidi"/>
          <w:color w:val="auto"/>
          <w:sz w:val="32"/>
          <w:szCs w:val="32"/>
          <w:highlight w:val="none"/>
          <w:u w:val="none"/>
          <w:lang w:val="en-US" w:eastAsia="zh-CN"/>
        </w:rPr>
        <w:t>处室（</w:t>
      </w:r>
      <w:r>
        <w:rPr>
          <w:rFonts w:hint="eastAsia" w:eastAsia="仿宋_GB2312" w:cstheme="minorBidi"/>
          <w:color w:val="auto"/>
          <w:sz w:val="32"/>
          <w:szCs w:val="32"/>
          <w:highlight w:val="none"/>
          <w:u w:val="none"/>
        </w:rPr>
        <w:t>科室</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在医院授权范围内自主管理。</w:t>
      </w:r>
    </w:p>
    <w:p w14:paraId="1D8D747C">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内设机构负责人包括正（副）</w:t>
      </w:r>
      <w:r>
        <w:rPr>
          <w:rFonts w:hint="eastAsia" w:eastAsia="仿宋_GB2312" w:cstheme="minorBidi"/>
          <w:color w:val="auto"/>
          <w:sz w:val="32"/>
          <w:szCs w:val="32"/>
          <w:highlight w:val="none"/>
          <w:u w:val="none"/>
          <w:lang w:val="en-US" w:eastAsia="zh-CN"/>
        </w:rPr>
        <w:t>处长</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正（副）科主任、支部书记、护士长等在内的核心管理团队，负责制定部门管理细则，完善民主决策制度、</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务会会议制度以及全体会议制度；</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室负责人是科室管理和安全生产的第一责任人，负责</w:t>
      </w:r>
      <w:r>
        <w:rPr>
          <w:rFonts w:hint="eastAsia" w:eastAsia="仿宋_GB2312" w:cstheme="minorBidi"/>
          <w:color w:val="auto"/>
          <w:sz w:val="32"/>
          <w:szCs w:val="32"/>
          <w:highlight w:val="none"/>
          <w:u w:val="none"/>
          <w:lang w:val="en-US" w:eastAsia="zh-CN"/>
        </w:rPr>
        <w:t>处（</w:t>
      </w:r>
      <w:r>
        <w:rPr>
          <w:rFonts w:hint="eastAsia" w:eastAsia="仿宋_GB2312" w:cstheme="minorBidi"/>
          <w:color w:val="auto"/>
          <w:sz w:val="32"/>
          <w:szCs w:val="32"/>
          <w:highlight w:val="none"/>
          <w:u w:val="none"/>
        </w:rPr>
        <w:t>科</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室的日常管理，组织贯彻上级指示精神，培训宣教，党团建设等工作。</w:t>
      </w:r>
    </w:p>
    <w:p w14:paraId="24F3FA00">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（二）内蒙古医科大学附属医院人员基本情况</w:t>
      </w:r>
    </w:p>
    <w:p w14:paraId="6DEAA94A">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从预算单位构成看，纳入本单位</w:t>
      </w:r>
      <w:r>
        <w:rPr>
          <w:rFonts w:hint="eastAsia" w:eastAsia="仿宋_GB2312" w:cstheme="minorBidi"/>
          <w:color w:val="auto"/>
          <w:sz w:val="32"/>
          <w:szCs w:val="32"/>
          <w:highlight w:val="none"/>
          <w:u w:val="none"/>
          <w:lang w:val="en-US" w:eastAsia="zh-CN"/>
        </w:rPr>
        <w:t>2026</w:t>
      </w:r>
      <w:r>
        <w:rPr>
          <w:rFonts w:hint="eastAsia" w:eastAsia="仿宋_GB2312" w:cstheme="minorBidi"/>
          <w:color w:val="auto"/>
          <w:sz w:val="32"/>
          <w:szCs w:val="32"/>
          <w:highlight w:val="none"/>
          <w:u w:val="none"/>
        </w:rPr>
        <w:t>年部门汇总预算编制范围的预算单位共计</w:t>
      </w:r>
      <w:r>
        <w:rPr>
          <w:rFonts w:hint="eastAsia" w:eastAsia="仿宋_GB2312" w:cstheme="minorBidi"/>
          <w:color w:val="auto"/>
          <w:sz w:val="32"/>
          <w:szCs w:val="32"/>
          <w:highlight w:val="none"/>
          <w:u w:val="none"/>
          <w:lang w:val="en-US" w:eastAsia="zh-CN"/>
        </w:rPr>
        <w:t>1</w:t>
      </w:r>
      <w:r>
        <w:rPr>
          <w:rFonts w:hint="eastAsia" w:eastAsia="仿宋_GB2312" w:cstheme="minorBidi"/>
          <w:color w:val="auto"/>
          <w:sz w:val="32"/>
          <w:szCs w:val="32"/>
          <w:highlight w:val="none"/>
          <w:u w:val="none"/>
        </w:rPr>
        <w:t>家，具体包括：</w:t>
      </w:r>
      <w:r>
        <w:rPr>
          <w:rFonts w:hint="eastAsia" w:eastAsia="仿宋_GB2312" w:cstheme="minorBidi"/>
          <w:color w:val="auto"/>
          <w:sz w:val="32"/>
          <w:szCs w:val="32"/>
          <w:highlight w:val="none"/>
          <w:u w:val="none"/>
          <w:lang w:val="en-US" w:eastAsia="zh-CN"/>
        </w:rPr>
        <w:t>内蒙古医科大学附属医院</w:t>
      </w:r>
      <w:r>
        <w:rPr>
          <w:rFonts w:hint="eastAsia" w:eastAsia="仿宋_GB2312" w:cstheme="minorBidi"/>
          <w:color w:val="auto"/>
          <w:sz w:val="32"/>
          <w:szCs w:val="32"/>
          <w:highlight w:val="none"/>
          <w:u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4"/>
        <w:gridCol w:w="3845"/>
        <w:gridCol w:w="3267"/>
      </w:tblGrid>
      <w:tr w14:paraId="27E1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tcPr>
          <w:p w14:paraId="3BA71385">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序号</w:t>
            </w:r>
          </w:p>
        </w:tc>
        <w:tc>
          <w:tcPr>
            <w:tcW w:w="3845" w:type="dxa"/>
          </w:tcPr>
          <w:p w14:paraId="54A8FD3A">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单位名称</w:t>
            </w:r>
          </w:p>
        </w:tc>
        <w:tc>
          <w:tcPr>
            <w:tcW w:w="3267" w:type="dxa"/>
          </w:tcPr>
          <w:p w14:paraId="5F481574">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单位性质</w:t>
            </w:r>
          </w:p>
        </w:tc>
      </w:tr>
      <w:tr w14:paraId="2458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tcPr>
          <w:p w14:paraId="6C5FD2E5">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1</w:t>
            </w:r>
          </w:p>
        </w:tc>
        <w:tc>
          <w:tcPr>
            <w:tcW w:w="3845" w:type="dxa"/>
          </w:tcPr>
          <w:p w14:paraId="74BE90D3">
            <w:pPr>
              <w:spacing w:line="600" w:lineRule="exact"/>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内蒙古医科大学附属医院</w:t>
            </w:r>
          </w:p>
        </w:tc>
        <w:tc>
          <w:tcPr>
            <w:tcW w:w="3267" w:type="dxa"/>
          </w:tcPr>
          <w:p w14:paraId="4773B6CF">
            <w:pPr>
              <w:spacing w:line="600" w:lineRule="exact"/>
              <w:rPr>
                <w:rFonts w:hint="default"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公益二类事业单位</w:t>
            </w:r>
          </w:p>
        </w:tc>
      </w:tr>
    </w:tbl>
    <w:p w14:paraId="1D7BDF18">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预算事业编制数</w:t>
      </w:r>
      <w:r>
        <w:rPr>
          <w:rFonts w:hint="eastAsia" w:eastAsia="仿宋_GB2312" w:cstheme="minorBidi"/>
          <w:color w:val="auto"/>
          <w:sz w:val="32"/>
          <w:szCs w:val="32"/>
          <w:highlight w:val="none"/>
          <w:u w:val="none"/>
          <w:lang w:val="en-US" w:eastAsia="zh-CN"/>
        </w:rPr>
        <w:t>2395</w:t>
      </w:r>
      <w:r>
        <w:rPr>
          <w:rFonts w:hint="eastAsia" w:eastAsia="仿宋_GB2312" w:cstheme="minorBidi"/>
          <w:color w:val="auto"/>
          <w:sz w:val="32"/>
          <w:szCs w:val="32"/>
          <w:highlight w:val="none"/>
          <w:u w:val="none"/>
        </w:rPr>
        <w:t>人。截止202</w:t>
      </w:r>
      <w:r>
        <w:rPr>
          <w:rFonts w:hint="eastAsia" w:eastAsia="仿宋_GB2312" w:cstheme="minorBidi"/>
          <w:color w:val="auto"/>
          <w:sz w:val="32"/>
          <w:szCs w:val="32"/>
          <w:highlight w:val="none"/>
          <w:u w:val="none"/>
          <w:lang w:val="en-US" w:eastAsia="zh-CN"/>
        </w:rPr>
        <w:t>5</w:t>
      </w:r>
      <w:r>
        <w:rPr>
          <w:rFonts w:hint="eastAsia" w:eastAsia="仿宋_GB2312" w:cstheme="minorBidi"/>
          <w:color w:val="auto"/>
          <w:sz w:val="32"/>
          <w:szCs w:val="32"/>
          <w:highlight w:val="none"/>
          <w:u w:val="none"/>
        </w:rPr>
        <w:t xml:space="preserve">年12月末实有人数 </w:t>
      </w:r>
      <w:r>
        <w:rPr>
          <w:rFonts w:hint="eastAsia" w:eastAsia="仿宋_GB2312" w:cstheme="minorBidi"/>
          <w:color w:val="auto"/>
          <w:sz w:val="32"/>
          <w:szCs w:val="32"/>
          <w:highlight w:val="none"/>
          <w:u w:val="none"/>
          <w:lang w:val="en-US" w:eastAsia="zh-CN"/>
        </w:rPr>
        <w:t>5031</w:t>
      </w:r>
      <w:r>
        <w:rPr>
          <w:rFonts w:hint="eastAsia" w:eastAsia="仿宋_GB2312" w:cstheme="minorBidi"/>
          <w:color w:val="auto"/>
          <w:sz w:val="32"/>
          <w:szCs w:val="32"/>
          <w:highlight w:val="none"/>
          <w:u w:val="none"/>
        </w:rPr>
        <w:t>人，其中：在</w:t>
      </w:r>
      <w:r>
        <w:rPr>
          <w:rFonts w:hint="eastAsia" w:eastAsia="仿宋_GB2312" w:cstheme="minorBidi"/>
          <w:color w:val="auto"/>
          <w:sz w:val="32"/>
          <w:szCs w:val="32"/>
          <w:highlight w:val="none"/>
          <w:u w:val="none"/>
          <w:lang w:val="en-US" w:eastAsia="zh-CN"/>
        </w:rPr>
        <w:t>编</w:t>
      </w:r>
      <w:r>
        <w:rPr>
          <w:rFonts w:hint="eastAsia" w:eastAsia="仿宋_GB2312" w:cstheme="minorBidi"/>
          <w:color w:val="auto"/>
          <w:sz w:val="32"/>
          <w:szCs w:val="32"/>
          <w:highlight w:val="none"/>
          <w:u w:val="none"/>
        </w:rPr>
        <w:t>人员</w:t>
      </w:r>
      <w:r>
        <w:rPr>
          <w:rFonts w:hint="eastAsia" w:eastAsia="仿宋_GB2312" w:cstheme="minorBidi"/>
          <w:color w:val="auto"/>
          <w:sz w:val="32"/>
          <w:szCs w:val="32"/>
          <w:highlight w:val="none"/>
          <w:u w:val="none"/>
          <w:lang w:val="en-US" w:eastAsia="zh-CN"/>
        </w:rPr>
        <w:t>2275</w:t>
      </w:r>
      <w:r>
        <w:rPr>
          <w:rFonts w:hint="eastAsia" w:eastAsia="仿宋_GB2312" w:cstheme="minorBidi"/>
          <w:color w:val="auto"/>
          <w:sz w:val="32"/>
          <w:szCs w:val="32"/>
          <w:highlight w:val="none"/>
          <w:u w:val="none"/>
        </w:rPr>
        <w:t>人，长期聘用人员</w:t>
      </w:r>
      <w:r>
        <w:rPr>
          <w:rFonts w:hint="eastAsia" w:eastAsia="仿宋_GB2312" w:cstheme="minorBidi"/>
          <w:color w:val="auto"/>
          <w:sz w:val="32"/>
          <w:szCs w:val="32"/>
          <w:highlight w:val="none"/>
          <w:u w:val="none"/>
          <w:lang w:val="en-US" w:eastAsia="zh-CN"/>
        </w:rPr>
        <w:t>2756</w:t>
      </w:r>
      <w:r>
        <w:rPr>
          <w:rFonts w:hint="eastAsia" w:eastAsia="仿宋_GB2312" w:cstheme="minorBidi"/>
          <w:color w:val="auto"/>
          <w:sz w:val="32"/>
          <w:szCs w:val="32"/>
          <w:highlight w:val="none"/>
          <w:u w:val="none"/>
        </w:rPr>
        <w:t>人，离退休人员</w:t>
      </w:r>
      <w:r>
        <w:rPr>
          <w:rFonts w:hint="eastAsia" w:eastAsia="仿宋_GB2312" w:cstheme="minorBidi"/>
          <w:color w:val="auto"/>
          <w:sz w:val="32"/>
          <w:szCs w:val="32"/>
          <w:highlight w:val="none"/>
          <w:u w:val="none"/>
          <w:lang w:val="en-US" w:eastAsia="zh-CN"/>
        </w:rPr>
        <w:t>858</w:t>
      </w:r>
      <w:r>
        <w:rPr>
          <w:rFonts w:hint="eastAsia" w:eastAsia="仿宋_GB2312" w:cstheme="minorBidi"/>
          <w:color w:val="auto"/>
          <w:sz w:val="32"/>
          <w:szCs w:val="32"/>
          <w:highlight w:val="none"/>
          <w:u w:val="none"/>
        </w:rPr>
        <w:t xml:space="preserve">人。 </w:t>
      </w:r>
    </w:p>
    <w:p w14:paraId="1E7E1CA8">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ascii="仿宋_GB2312" w:hAnsi="仿宋_GB2312" w:eastAsia="黑体" w:cs="黑体"/>
          <w:color w:val="auto"/>
          <w:sz w:val="32"/>
          <w:szCs w:val="36"/>
          <w:highlight w:val="none"/>
          <w:u w:val="none"/>
          <w:lang w:val="en-US" w:eastAsia="zh-CN"/>
        </w:rPr>
        <w:t>2026</w:t>
      </w:r>
      <w:r>
        <w:rPr>
          <w:rFonts w:hint="eastAsia" w:eastAsia="黑体" w:cs="黑体"/>
          <w:color w:val="auto"/>
          <w:sz w:val="32"/>
          <w:szCs w:val="36"/>
          <w:highlight w:val="none"/>
          <w:u w:val="none"/>
        </w:rPr>
        <w:t>年度部门（单位）主要工作任务及目标</w:t>
      </w:r>
    </w:p>
    <w:p w14:paraId="0868983F">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eastAsia" w:ascii="Times New Roman" w:hAnsi="Times New Roman" w:eastAsia="仿宋_GB2312" w:cstheme="minorBidi"/>
          <w:color w:val="auto"/>
          <w:sz w:val="32"/>
          <w:szCs w:val="32"/>
          <w:highlight w:val="none"/>
          <w:u w:val="none"/>
          <w:lang w:val="en-US" w:eastAsia="zh-CN"/>
        </w:rPr>
        <w:t>2026年是“十五五”规划的开局之年，附属医院将</w:t>
      </w:r>
      <w:r>
        <w:rPr>
          <w:rFonts w:hint="eastAsia" w:ascii="Times New Roman" w:hAnsi="Times New Roman" w:eastAsia="仿宋_GB2312" w:cstheme="minorBidi"/>
          <w:color w:val="auto"/>
          <w:sz w:val="32"/>
          <w:szCs w:val="32"/>
          <w:highlight w:val="none"/>
          <w:u w:val="none"/>
        </w:rPr>
        <w:t>深入贯彻落实</w:t>
      </w:r>
      <w:r>
        <w:rPr>
          <w:rFonts w:hint="eastAsia" w:ascii="Times New Roman" w:hAnsi="Times New Roman" w:eastAsia="仿宋_GB2312" w:cstheme="minorBidi"/>
          <w:color w:val="auto"/>
          <w:sz w:val="32"/>
          <w:szCs w:val="32"/>
          <w:highlight w:val="none"/>
          <w:u w:val="none"/>
          <w:lang w:val="en-US" w:eastAsia="zh-CN"/>
        </w:rPr>
        <w:t>新时代党的卫生健康工作方针，深入实施健康优先发展战略，健全健康促进政策制度体系，以铸牢中华民族共同体意识为主线，</w:t>
      </w:r>
      <w:r>
        <w:rPr>
          <w:rFonts w:hint="eastAsia" w:ascii="Times New Roman" w:hAnsi="Times New Roman" w:eastAsia="仿宋_GB2312" w:cstheme="minorBidi"/>
          <w:color w:val="auto"/>
          <w:sz w:val="32"/>
          <w:szCs w:val="32"/>
          <w:highlight w:val="none"/>
          <w:u w:val="none"/>
          <w:lang w:eastAsia="zh-CN"/>
        </w:rPr>
        <w:t>紧扣“1374”工作思路，</w:t>
      </w:r>
      <w:r>
        <w:rPr>
          <w:rFonts w:hint="eastAsia" w:ascii="Times New Roman" w:hAnsi="Times New Roman" w:eastAsia="仿宋_GB2312" w:cstheme="minorBidi"/>
          <w:color w:val="auto"/>
          <w:sz w:val="32"/>
          <w:szCs w:val="32"/>
          <w:highlight w:val="none"/>
          <w:u w:val="none"/>
          <w:lang w:val="en-US" w:eastAsia="zh-CN"/>
        </w:rPr>
        <w:t>即</w:t>
      </w:r>
      <w:r>
        <w:rPr>
          <w:rFonts w:hint="eastAsia" w:ascii="Times New Roman" w:hAnsi="Times New Roman" w:eastAsia="仿宋_GB2312" w:cstheme="minorBidi"/>
          <w:color w:val="auto"/>
          <w:sz w:val="32"/>
          <w:szCs w:val="32"/>
          <w:highlight w:val="none"/>
          <w:u w:val="none"/>
          <w:lang w:eastAsia="zh-CN"/>
        </w:rPr>
        <w:t>围绕高质量发展“一大主题”，</w:t>
      </w:r>
      <w:r>
        <w:rPr>
          <w:rFonts w:hint="eastAsia" w:ascii="Times New Roman" w:hAnsi="Times New Roman" w:eastAsia="仿宋_GB2312" w:cstheme="minorBidi"/>
          <w:color w:val="auto"/>
          <w:sz w:val="32"/>
          <w:szCs w:val="32"/>
          <w:highlight w:val="none"/>
          <w:u w:val="none"/>
          <w:lang w:val="en-US" w:eastAsia="zh-CN"/>
        </w:rPr>
        <w:t>聚焦全民健康促进、全生命周期照护、全方位人文关怀“三大维度”，全面加强党的建设、质量与安全、教育与人才、学科与专科、医疗与服务、运营与管理、文化与人文“七大平台”建设，实现发展方式、发展动力、发展目标、管理模式的“四大转变”，全力推进健康中国、健康内蒙古建设，推动医院高质量发展提质升级，奋力向高水平研究型医院建设目标迈进。</w:t>
      </w:r>
    </w:p>
    <w:p w14:paraId="23243900">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eastAsia" w:ascii="Times New Roman" w:hAnsi="Times New Roman" w:eastAsia="仿宋_GB2312" w:cstheme="minorBidi"/>
          <w:color w:val="auto"/>
          <w:sz w:val="32"/>
          <w:szCs w:val="32"/>
          <w:highlight w:val="none"/>
          <w:u w:val="none"/>
          <w:lang w:val="en-US" w:eastAsia="zh-CN"/>
        </w:rPr>
        <w:t>聚焦“三大维度”，实现“四大转变”</w:t>
      </w:r>
    </w:p>
    <w:p w14:paraId="19077362">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default" w:ascii="Times New Roman" w:hAnsi="Times New Roman" w:eastAsia="仿宋_GB2312" w:cstheme="minorBidi"/>
          <w:color w:val="auto"/>
          <w:sz w:val="32"/>
          <w:szCs w:val="32"/>
          <w:highlight w:val="none"/>
          <w:u w:val="none"/>
          <w:lang w:val="en-US" w:eastAsia="zh-CN"/>
        </w:rPr>
        <w:t>1</w:t>
      </w:r>
      <w:r>
        <w:rPr>
          <w:rFonts w:hint="eastAsia" w:ascii="Times New Roman" w:hAnsi="Times New Roman" w:eastAsia="仿宋_GB2312" w:cstheme="minorBidi"/>
          <w:color w:val="auto"/>
          <w:sz w:val="32"/>
          <w:szCs w:val="32"/>
          <w:highlight w:val="none"/>
          <w:u w:val="none"/>
          <w:lang w:val="en-US" w:eastAsia="zh-CN"/>
        </w:rPr>
        <w:t>.聚焦</w:t>
      </w:r>
      <w:r>
        <w:rPr>
          <w:rFonts w:hint="default" w:ascii="Times New Roman" w:hAnsi="Times New Roman" w:eastAsia="仿宋_GB2312" w:cstheme="minorBidi"/>
          <w:color w:val="auto"/>
          <w:sz w:val="32"/>
          <w:szCs w:val="32"/>
          <w:highlight w:val="none"/>
          <w:u w:val="none"/>
          <w:lang w:val="en-US" w:eastAsia="zh-CN"/>
        </w:rPr>
        <w:t>全民健康促进</w:t>
      </w:r>
      <w:r>
        <w:rPr>
          <w:rFonts w:hint="eastAsia" w:ascii="Times New Roman" w:hAnsi="Times New Roman" w:eastAsia="仿宋_GB2312" w:cstheme="minorBidi"/>
          <w:color w:val="auto"/>
          <w:sz w:val="32"/>
          <w:szCs w:val="32"/>
          <w:highlight w:val="none"/>
          <w:u w:val="none"/>
          <w:lang w:val="en-US" w:eastAsia="zh-CN"/>
        </w:rPr>
        <w:t>，</w:t>
      </w:r>
      <w:r>
        <w:rPr>
          <w:rFonts w:hint="default" w:ascii="Times New Roman" w:hAnsi="Times New Roman" w:eastAsia="仿宋_GB2312" w:cstheme="minorBidi"/>
          <w:color w:val="auto"/>
          <w:sz w:val="32"/>
          <w:szCs w:val="32"/>
          <w:highlight w:val="none"/>
          <w:u w:val="none"/>
          <w:lang w:val="en-US" w:eastAsia="zh-CN"/>
        </w:rPr>
        <w:t>从“治已病”到“治未病”，构建全域健康守护体系</w:t>
      </w:r>
      <w:r>
        <w:rPr>
          <w:rFonts w:hint="eastAsia" w:ascii="Times New Roman" w:hAnsi="Times New Roman" w:eastAsia="仿宋_GB2312" w:cstheme="minorBidi"/>
          <w:color w:val="auto"/>
          <w:sz w:val="32"/>
          <w:szCs w:val="32"/>
          <w:highlight w:val="none"/>
          <w:u w:val="none"/>
          <w:lang w:val="en-US" w:eastAsia="zh-CN"/>
        </w:rPr>
        <w:t>。</w:t>
      </w:r>
      <w:r>
        <w:rPr>
          <w:rFonts w:hint="default" w:ascii="Times New Roman" w:hAnsi="Times New Roman" w:eastAsia="仿宋_GB2312" w:cstheme="minorBidi"/>
          <w:color w:val="auto"/>
          <w:sz w:val="32"/>
          <w:szCs w:val="32"/>
          <w:highlight w:val="none"/>
          <w:u w:val="none"/>
          <w:lang w:val="en-US" w:eastAsia="zh-CN"/>
        </w:rPr>
        <w:t>以提升</w:t>
      </w:r>
      <w:r>
        <w:rPr>
          <w:rFonts w:hint="eastAsia" w:ascii="Times New Roman" w:hAnsi="Times New Roman" w:eastAsia="仿宋_GB2312" w:cstheme="minorBidi"/>
          <w:color w:val="auto"/>
          <w:sz w:val="32"/>
          <w:szCs w:val="32"/>
          <w:highlight w:val="none"/>
          <w:u w:val="none"/>
          <w:lang w:val="en-US" w:eastAsia="zh-CN"/>
        </w:rPr>
        <w:t>全区人民</w:t>
      </w:r>
      <w:r>
        <w:rPr>
          <w:rFonts w:hint="default" w:ascii="Times New Roman" w:hAnsi="Times New Roman" w:eastAsia="仿宋_GB2312" w:cstheme="minorBidi"/>
          <w:color w:val="auto"/>
          <w:sz w:val="32"/>
          <w:szCs w:val="32"/>
          <w:highlight w:val="none"/>
          <w:u w:val="none"/>
          <w:lang w:val="en-US" w:eastAsia="zh-CN"/>
        </w:rPr>
        <w:t>健康素养和健康水平为核心，打造覆盖全人群、全年龄段的健康促进服务体系，营造健康支持型就医环境，形成</w:t>
      </w:r>
      <w:r>
        <w:rPr>
          <w:rFonts w:hint="eastAsia" w:ascii="Times New Roman" w:hAnsi="Times New Roman" w:eastAsia="仿宋_GB2312" w:cstheme="minorBidi"/>
          <w:color w:val="auto"/>
          <w:sz w:val="32"/>
          <w:szCs w:val="32"/>
          <w:highlight w:val="none"/>
          <w:u w:val="none"/>
          <w:lang w:val="en-US" w:eastAsia="zh-CN"/>
        </w:rPr>
        <w:t>“防-治-康-管”</w:t>
      </w:r>
      <w:r>
        <w:rPr>
          <w:rFonts w:hint="default" w:ascii="Times New Roman" w:hAnsi="Times New Roman" w:eastAsia="仿宋_GB2312" w:cstheme="minorBidi"/>
          <w:color w:val="auto"/>
          <w:sz w:val="32"/>
          <w:szCs w:val="32"/>
          <w:highlight w:val="none"/>
          <w:u w:val="none"/>
          <w:lang w:val="en-US" w:eastAsia="zh-CN"/>
        </w:rPr>
        <w:t>的</w:t>
      </w:r>
      <w:r>
        <w:rPr>
          <w:rFonts w:hint="eastAsia" w:ascii="Times New Roman" w:hAnsi="Times New Roman" w:eastAsia="仿宋_GB2312" w:cstheme="minorBidi"/>
          <w:color w:val="auto"/>
          <w:sz w:val="32"/>
          <w:szCs w:val="32"/>
          <w:highlight w:val="none"/>
          <w:u w:val="none"/>
          <w:lang w:val="en-US" w:eastAsia="zh-CN"/>
        </w:rPr>
        <w:t>全链条</w:t>
      </w:r>
      <w:r>
        <w:rPr>
          <w:rFonts w:hint="default" w:ascii="Times New Roman" w:hAnsi="Times New Roman" w:eastAsia="仿宋_GB2312" w:cstheme="minorBidi"/>
          <w:color w:val="auto"/>
          <w:sz w:val="32"/>
          <w:szCs w:val="32"/>
          <w:highlight w:val="none"/>
          <w:u w:val="none"/>
          <w:lang w:val="en-US" w:eastAsia="zh-CN"/>
        </w:rPr>
        <w:t>健康管理闭环。</w:t>
      </w:r>
    </w:p>
    <w:p w14:paraId="60E07093">
      <w:pPr>
        <w:spacing w:line="600" w:lineRule="exact"/>
        <w:ind w:firstLine="640" w:firstLineChars="200"/>
        <w:rPr>
          <w:rFonts w:hint="default" w:ascii="Times New Roman" w:hAnsi="Times New Roman" w:eastAsia="仿宋_GB2312" w:cstheme="minorBidi"/>
          <w:color w:val="auto"/>
          <w:sz w:val="32"/>
          <w:szCs w:val="32"/>
          <w:highlight w:val="none"/>
          <w:u w:val="none"/>
          <w:lang w:val="en-US" w:eastAsia="zh-CN"/>
        </w:rPr>
      </w:pPr>
      <w:r>
        <w:rPr>
          <w:rFonts w:hint="default" w:ascii="Times New Roman" w:hAnsi="Times New Roman" w:eastAsia="仿宋_GB2312" w:cstheme="minorBidi"/>
          <w:color w:val="auto"/>
          <w:sz w:val="32"/>
          <w:szCs w:val="32"/>
          <w:highlight w:val="none"/>
          <w:u w:val="none"/>
          <w:lang w:val="en-US" w:eastAsia="zh-CN"/>
        </w:rPr>
        <w:t>2</w:t>
      </w:r>
      <w:r>
        <w:rPr>
          <w:rFonts w:hint="eastAsia" w:ascii="Times New Roman" w:hAnsi="Times New Roman" w:eastAsia="仿宋_GB2312" w:cstheme="minorBidi"/>
          <w:color w:val="auto"/>
          <w:sz w:val="32"/>
          <w:szCs w:val="32"/>
          <w:highlight w:val="none"/>
          <w:u w:val="none"/>
          <w:lang w:val="en-US" w:eastAsia="zh-CN"/>
        </w:rPr>
        <w:t>.聚焦</w:t>
      </w:r>
      <w:r>
        <w:rPr>
          <w:rFonts w:hint="default" w:ascii="Times New Roman" w:hAnsi="Times New Roman" w:eastAsia="仿宋_GB2312" w:cstheme="minorBidi"/>
          <w:color w:val="auto"/>
          <w:sz w:val="32"/>
          <w:szCs w:val="32"/>
          <w:highlight w:val="none"/>
          <w:u w:val="none"/>
          <w:lang w:val="en-US" w:eastAsia="zh-CN"/>
        </w:rPr>
        <w:t>全生命周期照护</w:t>
      </w:r>
      <w:r>
        <w:rPr>
          <w:rFonts w:hint="eastAsia" w:ascii="Times New Roman" w:hAnsi="Times New Roman" w:eastAsia="仿宋_GB2312" w:cstheme="minorBidi"/>
          <w:color w:val="auto"/>
          <w:sz w:val="32"/>
          <w:szCs w:val="32"/>
          <w:highlight w:val="none"/>
          <w:u w:val="none"/>
          <w:lang w:val="en-US" w:eastAsia="zh-CN"/>
        </w:rPr>
        <w:t>，</w:t>
      </w:r>
      <w:r>
        <w:rPr>
          <w:rFonts w:hint="default" w:ascii="Times New Roman" w:hAnsi="Times New Roman" w:eastAsia="仿宋_GB2312" w:cstheme="minorBidi"/>
          <w:color w:val="auto"/>
          <w:sz w:val="32"/>
          <w:szCs w:val="32"/>
          <w:highlight w:val="none"/>
          <w:u w:val="none"/>
          <w:lang w:val="en-US" w:eastAsia="zh-CN"/>
        </w:rPr>
        <w:t>从“单一诊疗”到“全程守护”，打造全链条健康服务模式</w:t>
      </w:r>
      <w:r>
        <w:rPr>
          <w:rFonts w:hint="eastAsia" w:ascii="Times New Roman" w:hAnsi="Times New Roman" w:eastAsia="仿宋_GB2312" w:cstheme="minorBidi"/>
          <w:color w:val="auto"/>
          <w:sz w:val="32"/>
          <w:szCs w:val="32"/>
          <w:highlight w:val="none"/>
          <w:u w:val="none"/>
          <w:lang w:val="en-US" w:eastAsia="zh-CN"/>
        </w:rPr>
        <w:t>。</w:t>
      </w:r>
      <w:r>
        <w:rPr>
          <w:rFonts w:hint="default" w:ascii="Times New Roman" w:hAnsi="Times New Roman" w:eastAsia="仿宋_GB2312" w:cstheme="minorBidi"/>
          <w:color w:val="auto"/>
          <w:sz w:val="32"/>
          <w:szCs w:val="32"/>
          <w:highlight w:val="none"/>
          <w:u w:val="none"/>
          <w:lang w:val="en-US" w:eastAsia="zh-CN"/>
        </w:rPr>
        <w:t>紧扣群众从生命孕育到老年康养的全周期健康需求，整合医疗、护理、康复、养老等多元资源，构建覆盖孕前、孕产、儿童、青少年、中老年及康养阶段的全链条服务体系。</w:t>
      </w:r>
    </w:p>
    <w:p w14:paraId="29A110B4">
      <w:pPr>
        <w:spacing w:line="600" w:lineRule="exact"/>
        <w:ind w:firstLine="640" w:firstLineChars="200"/>
        <w:rPr>
          <w:rFonts w:hint="default" w:ascii="Times New Roman" w:hAnsi="Times New Roman" w:eastAsia="仿宋_GB2312" w:cstheme="minorBidi"/>
          <w:color w:val="auto"/>
          <w:sz w:val="32"/>
          <w:szCs w:val="32"/>
          <w:highlight w:val="none"/>
          <w:u w:val="none"/>
          <w:lang w:val="en-US" w:eastAsia="zh-CN"/>
        </w:rPr>
      </w:pPr>
      <w:r>
        <w:rPr>
          <w:rFonts w:hint="default" w:ascii="Times New Roman" w:hAnsi="Times New Roman" w:eastAsia="仿宋_GB2312" w:cstheme="minorBidi"/>
          <w:color w:val="auto"/>
          <w:sz w:val="32"/>
          <w:szCs w:val="32"/>
          <w:highlight w:val="none"/>
          <w:u w:val="none"/>
          <w:lang w:val="en-US" w:eastAsia="zh-CN"/>
        </w:rPr>
        <w:t>3</w:t>
      </w:r>
      <w:r>
        <w:rPr>
          <w:rFonts w:hint="eastAsia" w:ascii="Times New Roman" w:hAnsi="Times New Roman" w:eastAsia="仿宋_GB2312" w:cstheme="minorBidi"/>
          <w:color w:val="auto"/>
          <w:sz w:val="32"/>
          <w:szCs w:val="32"/>
          <w:highlight w:val="none"/>
          <w:u w:val="none"/>
          <w:lang w:val="en-US" w:eastAsia="zh-CN"/>
        </w:rPr>
        <w:t>.聚焦</w:t>
      </w:r>
      <w:r>
        <w:rPr>
          <w:rFonts w:hint="default" w:ascii="Times New Roman" w:hAnsi="Times New Roman" w:eastAsia="仿宋_GB2312" w:cstheme="minorBidi"/>
          <w:color w:val="auto"/>
          <w:sz w:val="32"/>
          <w:szCs w:val="32"/>
          <w:highlight w:val="none"/>
          <w:u w:val="none"/>
          <w:lang w:val="en-US" w:eastAsia="zh-CN"/>
        </w:rPr>
        <w:t>全方位人文关怀</w:t>
      </w:r>
      <w:r>
        <w:rPr>
          <w:rFonts w:hint="eastAsia" w:ascii="Times New Roman" w:hAnsi="Times New Roman" w:eastAsia="仿宋_GB2312" w:cstheme="minorBidi"/>
          <w:color w:val="auto"/>
          <w:sz w:val="32"/>
          <w:szCs w:val="32"/>
          <w:highlight w:val="none"/>
          <w:u w:val="none"/>
          <w:lang w:val="en-US" w:eastAsia="zh-CN"/>
        </w:rPr>
        <w:t>，</w:t>
      </w:r>
      <w:r>
        <w:rPr>
          <w:rFonts w:hint="default" w:ascii="Times New Roman" w:hAnsi="Times New Roman" w:eastAsia="仿宋_GB2312" w:cstheme="minorBidi"/>
          <w:color w:val="auto"/>
          <w:sz w:val="32"/>
          <w:szCs w:val="32"/>
          <w:highlight w:val="none"/>
          <w:u w:val="none"/>
          <w:lang w:val="en-US" w:eastAsia="zh-CN"/>
        </w:rPr>
        <w:t>从“治病”到“救人”，彰显医学温度与人文底色</w:t>
      </w:r>
      <w:r>
        <w:rPr>
          <w:rFonts w:hint="eastAsia" w:ascii="Times New Roman" w:hAnsi="Times New Roman" w:eastAsia="仿宋_GB2312" w:cstheme="minorBidi"/>
          <w:color w:val="auto"/>
          <w:sz w:val="32"/>
          <w:szCs w:val="32"/>
          <w:highlight w:val="none"/>
          <w:u w:val="none"/>
          <w:lang w:val="en-US" w:eastAsia="zh-CN"/>
        </w:rPr>
        <w:t>。</w:t>
      </w:r>
      <w:r>
        <w:rPr>
          <w:rFonts w:hint="default" w:ascii="Times New Roman" w:hAnsi="Times New Roman" w:eastAsia="仿宋_GB2312" w:cstheme="minorBidi"/>
          <w:color w:val="auto"/>
          <w:sz w:val="32"/>
          <w:szCs w:val="32"/>
          <w:highlight w:val="none"/>
          <w:u w:val="none"/>
          <w:lang w:val="en-US" w:eastAsia="zh-CN"/>
        </w:rPr>
        <w:t>强化医务人员人文素养培育，将人文精神深度融入医疗服务各环节，构建有温度、有情怀的医疗服务体系。</w:t>
      </w:r>
      <w:r>
        <w:rPr>
          <w:rFonts w:hint="eastAsia" w:ascii="Times New Roman" w:hAnsi="Times New Roman" w:eastAsia="仿宋_GB2312" w:cstheme="minorBidi"/>
          <w:color w:val="auto"/>
          <w:sz w:val="32"/>
          <w:szCs w:val="32"/>
          <w:highlight w:val="none"/>
          <w:u w:val="none"/>
          <w:lang w:val="en-US" w:eastAsia="zh-CN"/>
        </w:rPr>
        <w:t>建设“患者文化”</w:t>
      </w:r>
      <w:r>
        <w:rPr>
          <w:rFonts w:hint="default" w:ascii="Times New Roman" w:hAnsi="Times New Roman" w:eastAsia="仿宋_GB2312" w:cstheme="minorBidi"/>
          <w:color w:val="auto"/>
          <w:sz w:val="32"/>
          <w:szCs w:val="32"/>
          <w:highlight w:val="none"/>
          <w:u w:val="none"/>
          <w:lang w:val="en-US" w:eastAsia="zh-CN"/>
        </w:rPr>
        <w:t>，优化全流程就医体验，聚焦特殊群体个性化需求，畅通医患沟通渠道，构建和谐互信的医患关系。</w:t>
      </w:r>
    </w:p>
    <w:p w14:paraId="0BC8A415">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eastAsia" w:ascii="Times New Roman" w:hAnsi="Times New Roman" w:eastAsia="仿宋_GB2312" w:cstheme="minorBidi"/>
          <w:color w:val="auto"/>
          <w:sz w:val="32"/>
          <w:szCs w:val="32"/>
          <w:highlight w:val="none"/>
          <w:u w:val="none"/>
          <w:lang w:val="en-US" w:eastAsia="zh-CN"/>
        </w:rPr>
        <w:t>4.发展方式从“规模扩张”向“内涵提升”转变。摆脱对床位、设备等硬件规模的依赖，聚焦医疗质量、学科实力、人才素质等核心软实力的提升，实现从“大医院”向“强医院”的跨越。</w:t>
      </w:r>
    </w:p>
    <w:p w14:paraId="6E038AC9">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eastAsia" w:ascii="Times New Roman" w:hAnsi="Times New Roman" w:eastAsia="仿宋_GB2312" w:cstheme="minorBidi"/>
          <w:color w:val="auto"/>
          <w:sz w:val="32"/>
          <w:szCs w:val="32"/>
          <w:highlight w:val="none"/>
          <w:u w:val="none"/>
          <w:lang w:val="en-US" w:eastAsia="zh-CN"/>
        </w:rPr>
        <w:t>5.发展动力从“要素驱动”向“创新驱动”的转变。突破传统发展路径，以科研创新赋能临床诊疗，以技术突破提升核心竞争力，以管理创新优化运营效能，激活医院发展的内生动力。</w:t>
      </w:r>
    </w:p>
    <w:p w14:paraId="37E562E0">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eastAsia" w:ascii="Times New Roman" w:hAnsi="Times New Roman" w:eastAsia="仿宋_GB2312" w:cstheme="minorBidi"/>
          <w:color w:val="auto"/>
          <w:sz w:val="32"/>
          <w:szCs w:val="32"/>
          <w:highlight w:val="none"/>
          <w:u w:val="none"/>
          <w:lang w:val="en-US" w:eastAsia="zh-CN"/>
        </w:rPr>
        <w:t>6.发展目标从“单向诊疗”向</w:t>
      </w:r>
      <w:r>
        <w:rPr>
          <w:rFonts w:hint="default" w:ascii="Times New Roman" w:hAnsi="Times New Roman" w:eastAsia="仿宋_GB2312" w:cstheme="minorBidi"/>
          <w:color w:val="auto"/>
          <w:sz w:val="32"/>
          <w:szCs w:val="32"/>
          <w:highlight w:val="none"/>
          <w:u w:val="none"/>
          <w:lang w:val="en-US" w:eastAsia="zh-CN"/>
        </w:rPr>
        <w:t>“</w:t>
      </w:r>
      <w:r>
        <w:rPr>
          <w:rFonts w:hint="eastAsia" w:ascii="Times New Roman" w:hAnsi="Times New Roman" w:eastAsia="仿宋_GB2312" w:cstheme="minorBidi"/>
          <w:color w:val="auto"/>
          <w:sz w:val="32"/>
          <w:szCs w:val="32"/>
          <w:highlight w:val="none"/>
          <w:u w:val="none"/>
          <w:lang w:val="en-US" w:eastAsia="zh-CN"/>
        </w:rPr>
        <w:t>全期服务</w:t>
      </w:r>
      <w:r>
        <w:rPr>
          <w:rFonts w:hint="default" w:ascii="Times New Roman" w:hAnsi="Times New Roman" w:eastAsia="仿宋_GB2312" w:cstheme="minorBidi"/>
          <w:color w:val="auto"/>
          <w:sz w:val="32"/>
          <w:szCs w:val="32"/>
          <w:highlight w:val="none"/>
          <w:u w:val="none"/>
          <w:lang w:val="en-US" w:eastAsia="zh-CN"/>
        </w:rPr>
        <w:t>”</w:t>
      </w:r>
      <w:r>
        <w:rPr>
          <w:rFonts w:hint="eastAsia" w:ascii="Times New Roman" w:hAnsi="Times New Roman" w:eastAsia="仿宋_GB2312" w:cstheme="minorBidi"/>
          <w:color w:val="auto"/>
          <w:sz w:val="32"/>
          <w:szCs w:val="32"/>
          <w:highlight w:val="none"/>
          <w:u w:val="none"/>
          <w:lang w:val="en-US" w:eastAsia="zh-CN"/>
        </w:rPr>
        <w:t>转变。坚守公立医院公益属性，既要筑牢医疗质量安全底线，也要延伸健康服务链条，涵盖预防、诊疗、康复、健康管理等全环节，彰显医疗服务的温度与责任。</w:t>
      </w:r>
    </w:p>
    <w:p w14:paraId="6CA776AB">
      <w:pPr>
        <w:spacing w:line="600" w:lineRule="exact"/>
        <w:ind w:firstLine="640" w:firstLineChars="200"/>
        <w:rPr>
          <w:rFonts w:hint="eastAsia" w:ascii="Times New Roman" w:hAnsi="Times New Roman" w:eastAsia="仿宋_GB2312" w:cstheme="minorBidi"/>
          <w:color w:val="auto"/>
          <w:sz w:val="32"/>
          <w:szCs w:val="32"/>
          <w:highlight w:val="none"/>
          <w:u w:val="none"/>
          <w:lang w:val="en-US" w:eastAsia="zh-CN"/>
        </w:rPr>
      </w:pPr>
      <w:r>
        <w:rPr>
          <w:rFonts w:hint="eastAsia" w:ascii="Times New Roman" w:hAnsi="Times New Roman" w:eastAsia="仿宋_GB2312" w:cstheme="minorBidi"/>
          <w:color w:val="auto"/>
          <w:sz w:val="32"/>
          <w:szCs w:val="32"/>
          <w:highlight w:val="none"/>
          <w:u w:val="none"/>
          <w:lang w:val="en-US" w:eastAsia="zh-CN"/>
        </w:rPr>
        <w:t>7.管理模式从“经验管理”向“精细治理”转变。依托信息化、科学化手段，实现对医疗、财务、物资、人事等全流程的精准管控，提升管理效能，保障医院运行的稳定与高效，为高质量发展提供坚实保障。</w:t>
      </w:r>
    </w:p>
    <w:p w14:paraId="7902FB1F">
      <w:pPr>
        <w:spacing w:line="600" w:lineRule="exact"/>
        <w:ind w:firstLine="640" w:firstLineChars="200"/>
        <w:rPr>
          <w:rFonts w:hint="default" w:ascii="Times New Roman" w:hAnsi="Times New Roman" w:eastAsia="仿宋_GB2312" w:cstheme="minorBidi"/>
          <w:color w:val="auto"/>
          <w:sz w:val="32"/>
          <w:szCs w:val="32"/>
          <w:highlight w:val="none"/>
          <w:u w:val="none"/>
          <w:lang w:val="en-US" w:eastAsia="zh-CN"/>
        </w:rPr>
      </w:pPr>
    </w:p>
    <w:p w14:paraId="52B5C061">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1" w:name="_Toc21288"/>
      <w:r>
        <w:rPr>
          <w:rFonts w:hint="eastAsia" w:ascii="方正小标宋简体" w:hAnsi="方正小标宋简体" w:eastAsia="方正小标宋简体" w:cs="方正小标宋简体"/>
          <w:b w:val="0"/>
          <w:bCs w:val="0"/>
          <w:color w:val="auto"/>
          <w:sz w:val="36"/>
          <w:szCs w:val="36"/>
          <w:highlight w:val="none"/>
          <w:u w:val="none"/>
        </w:rPr>
        <w:t>第二部分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2025</w:t>
      </w:r>
      <w:r>
        <w:rPr>
          <w:rFonts w:hint="eastAsia" w:ascii="方正小标宋简体" w:hAnsi="方正小标宋简体" w:eastAsia="方正小标宋简体" w:cs="方正小标宋简体"/>
          <w:b w:val="0"/>
          <w:bCs w:val="0"/>
          <w:color w:val="auto"/>
          <w:sz w:val="36"/>
          <w:szCs w:val="36"/>
          <w:highlight w:val="none"/>
          <w:u w:val="none"/>
        </w:rPr>
        <w:t>年度部门（单位）预算情况说明</w:t>
      </w:r>
      <w:bookmarkEnd w:id="1"/>
    </w:p>
    <w:p w14:paraId="131963A0">
      <w:pPr>
        <w:spacing w:line="600" w:lineRule="exact"/>
        <w:rPr>
          <w:rFonts w:ascii="方正小标宋简体" w:hAnsi="方正小标宋简体" w:eastAsia="方正小标宋简体" w:cs="方正小标宋简体"/>
          <w:color w:val="auto"/>
          <w:sz w:val="36"/>
          <w:szCs w:val="36"/>
          <w:highlight w:val="none"/>
          <w:u w:val="none"/>
        </w:rPr>
      </w:pPr>
    </w:p>
    <w:p w14:paraId="2BBE6D75">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一、收支预算总体情况说明</w:t>
      </w:r>
    </w:p>
    <w:p w14:paraId="5BCC8027">
      <w:pPr>
        <w:pStyle w:val="8"/>
        <w:tabs>
          <w:tab w:val="left" w:pos="5840"/>
          <w:tab w:val="left" w:pos="7858"/>
          <w:tab w:val="left" w:pos="9328"/>
        </w:tabs>
        <w:spacing w:after="0" w:line="600" w:lineRule="exact"/>
        <w:ind w:firstLine="640" w:firstLineChars="200"/>
        <w:rPr>
          <w:rFonts w:ascii="仿宋_GB2312" w:hAnsi="仿宋_GB2312" w:eastAsia="仿宋_GB2312" w:cs="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hint="eastAsia" w:ascii="仿宋_GB2312" w:hAnsi="仿宋_GB2312" w:eastAsia="仿宋_GB2312" w:cs="仿宋_GB2312"/>
          <w:color w:val="auto"/>
          <w:sz w:val="32"/>
          <w:szCs w:val="32"/>
          <w:highlight w:val="none"/>
          <w:u w:val="none"/>
        </w:rPr>
        <w:t xml:space="preserve">年度收入、支出预算总计 </w:t>
      </w:r>
      <w:r>
        <w:rPr>
          <w:rFonts w:hint="eastAsia" w:ascii="仿宋_GB2312" w:hAnsi="仿宋_GB2312" w:eastAsia="仿宋_GB2312" w:cs="仿宋_GB2312"/>
          <w:color w:val="auto"/>
          <w:sz w:val="32"/>
          <w:szCs w:val="32"/>
          <w:highlight w:val="none"/>
          <w:u w:val="none"/>
          <w:lang w:val="en-US" w:eastAsia="zh-CN"/>
        </w:rPr>
        <w:t>342787.49</w:t>
      </w:r>
      <w:r>
        <w:rPr>
          <w:rFonts w:hint="eastAsia" w:ascii="仿宋_GB2312" w:hAnsi="仿宋_GB2312" w:eastAsia="仿宋_GB2312" w:cs="仿宋_GB2312"/>
          <w:color w:val="auto"/>
          <w:sz w:val="32"/>
          <w:szCs w:val="32"/>
          <w:highlight w:val="none"/>
          <w:u w:val="none"/>
        </w:rPr>
        <w:t xml:space="preserve">万元，与上年相比收、支预算总计各增加 </w:t>
      </w:r>
      <w:r>
        <w:rPr>
          <w:rFonts w:hint="eastAsia" w:ascii="仿宋_GB2312" w:hAnsi="仿宋_GB2312" w:eastAsia="仿宋_GB2312" w:cs="仿宋_GB2312"/>
          <w:color w:val="auto"/>
          <w:sz w:val="32"/>
          <w:szCs w:val="32"/>
          <w:highlight w:val="none"/>
          <w:u w:val="none"/>
          <w:lang w:val="en-US" w:eastAsia="zh-CN"/>
        </w:rPr>
        <w:t>7102.03</w:t>
      </w:r>
      <w:r>
        <w:rPr>
          <w:rFonts w:hint="eastAsia" w:ascii="仿宋_GB2312" w:hAnsi="仿宋_GB2312" w:eastAsia="仿宋_GB2312" w:cs="仿宋_GB2312"/>
          <w:color w:val="auto"/>
          <w:sz w:val="32"/>
          <w:szCs w:val="32"/>
          <w:highlight w:val="none"/>
          <w:u w:val="none"/>
        </w:rPr>
        <w:t xml:space="preserve">万元，增长 </w:t>
      </w:r>
      <w:r>
        <w:rPr>
          <w:rFonts w:hint="eastAsia" w:ascii="仿宋_GB2312" w:hAnsi="仿宋_GB2312" w:eastAsia="仿宋_GB2312" w:cs="仿宋_GB2312"/>
          <w:color w:val="auto"/>
          <w:sz w:val="32"/>
          <w:szCs w:val="32"/>
          <w:highlight w:val="none"/>
          <w:u w:val="none"/>
          <w:lang w:val="en-US" w:eastAsia="zh-CN"/>
        </w:rPr>
        <w:t>2.12</w:t>
      </w:r>
      <w:r>
        <w:rPr>
          <w:rFonts w:hint="eastAsia" w:ascii="仿宋_GB2312" w:hAnsi="仿宋_GB2312" w:eastAsia="仿宋_GB2312" w:cs="仿宋_GB2312"/>
          <w:color w:val="auto"/>
          <w:sz w:val="32"/>
          <w:szCs w:val="32"/>
          <w:highlight w:val="none"/>
          <w:u w:val="none"/>
        </w:rPr>
        <w:t>%。其中：</w:t>
      </w:r>
    </w:p>
    <w:p w14:paraId="77DCFB6A">
      <w:pPr>
        <w:pStyle w:val="8"/>
        <w:tabs>
          <w:tab w:val="left" w:pos="4275"/>
        </w:tabs>
        <w:spacing w:after="0" w:line="600" w:lineRule="exact"/>
        <w:ind w:firstLine="643" w:firstLineChars="200"/>
        <w:rPr>
          <w:rFonts w:ascii="楷体" w:hAnsi="楷体" w:eastAsia="楷体" w:cs="楷体"/>
          <w:b/>
          <w:bCs/>
          <w:color w:val="auto"/>
          <w:sz w:val="32"/>
          <w:szCs w:val="32"/>
          <w:highlight w:val="none"/>
          <w:u w:val="none"/>
        </w:rPr>
      </w:pPr>
      <w:r>
        <w:rPr>
          <w:rFonts w:hint="eastAsia" w:ascii="楷体" w:hAnsi="楷体" w:eastAsia="楷体" w:cs="楷体"/>
          <w:b/>
          <w:bCs/>
          <w:color w:val="auto"/>
          <w:sz w:val="32"/>
          <w:szCs w:val="32"/>
          <w:highlight w:val="none"/>
          <w:u w:val="none"/>
        </w:rPr>
        <w:t>（一）收入预算总计</w:t>
      </w:r>
      <w:r>
        <w:rPr>
          <w:rFonts w:hint="eastAsia" w:ascii="Times New Roman" w:hAnsi="Times New Roman" w:eastAsia="仿宋_GB2312" w:cs="仿宋"/>
          <w:color w:val="auto"/>
          <w:sz w:val="32"/>
          <w:szCs w:val="32"/>
          <w:highlight w:val="none"/>
          <w:u w:val="none"/>
        </w:rPr>
        <w:t xml:space="preserve"> </w:t>
      </w:r>
      <w:r>
        <w:rPr>
          <w:rFonts w:hint="eastAsia" w:ascii="仿宋_GB2312" w:hAnsi="仿宋_GB2312" w:eastAsia="仿宋_GB2312" w:cs="仿宋_GB2312"/>
          <w:b/>
          <w:bCs/>
          <w:color w:val="auto"/>
          <w:sz w:val="32"/>
          <w:szCs w:val="32"/>
          <w:highlight w:val="none"/>
          <w:u w:val="none"/>
          <w:lang w:val="en-US" w:eastAsia="zh-CN"/>
        </w:rPr>
        <w:t>342787.49</w:t>
      </w:r>
      <w:r>
        <w:rPr>
          <w:rFonts w:hint="eastAsia" w:ascii="Times New Roman" w:hAnsi="Times New Roman" w:eastAsia="仿宋_GB2312" w:cs="仿宋"/>
          <w:color w:val="auto"/>
          <w:sz w:val="32"/>
          <w:szCs w:val="32"/>
          <w:highlight w:val="none"/>
          <w:u w:val="none"/>
        </w:rPr>
        <w:t xml:space="preserve"> </w:t>
      </w:r>
      <w:r>
        <w:rPr>
          <w:rFonts w:hint="eastAsia" w:ascii="楷体" w:hAnsi="楷体" w:eastAsia="楷体" w:cs="楷体"/>
          <w:b/>
          <w:bCs/>
          <w:color w:val="auto"/>
          <w:sz w:val="32"/>
          <w:szCs w:val="32"/>
          <w:highlight w:val="none"/>
          <w:u w:val="none"/>
        </w:rPr>
        <w:t>万元。包括：</w:t>
      </w:r>
    </w:p>
    <w:p w14:paraId="747C1662">
      <w:pPr>
        <w:pStyle w:val="8"/>
        <w:tabs>
          <w:tab w:val="left" w:pos="379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1．本年收入合计 </w:t>
      </w:r>
      <w:r>
        <w:rPr>
          <w:rFonts w:hint="eastAsia" w:ascii="仿宋_GB2312" w:hAnsi="仿宋_GB2312" w:eastAsia="仿宋_GB2312" w:cs="仿宋_GB2312"/>
          <w:color w:val="auto"/>
          <w:sz w:val="32"/>
          <w:szCs w:val="32"/>
          <w:highlight w:val="none"/>
          <w:u w:val="none"/>
          <w:lang w:val="en-US" w:eastAsia="zh-CN"/>
        </w:rPr>
        <w:t xml:space="preserve">337487.16 </w:t>
      </w:r>
      <w:r>
        <w:rPr>
          <w:rFonts w:eastAsia="仿宋_GB2312"/>
          <w:color w:val="auto"/>
          <w:sz w:val="32"/>
          <w:szCs w:val="32"/>
          <w:highlight w:val="none"/>
          <w:u w:val="none"/>
        </w:rPr>
        <w:t xml:space="preserve"> 万元。</w:t>
      </w:r>
    </w:p>
    <w:p w14:paraId="10B1E07C">
      <w:pPr>
        <w:pStyle w:val="8"/>
        <w:tabs>
          <w:tab w:val="left" w:pos="1389"/>
          <w:tab w:val="left" w:pos="4911"/>
          <w:tab w:val="left" w:pos="589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（1）一般公共预算拨款收入 </w:t>
      </w:r>
      <w:r>
        <w:rPr>
          <w:rFonts w:hint="eastAsia" w:eastAsia="仿宋_GB2312"/>
          <w:color w:val="auto"/>
          <w:sz w:val="32"/>
          <w:szCs w:val="32"/>
          <w:highlight w:val="none"/>
          <w:u w:val="none"/>
          <w:lang w:val="en-US" w:eastAsia="zh-CN"/>
        </w:rPr>
        <w:t>13964.4</w:t>
      </w:r>
      <w:r>
        <w:rPr>
          <w:rFonts w:eastAsia="仿宋_GB2312"/>
          <w:color w:val="auto"/>
          <w:sz w:val="32"/>
          <w:szCs w:val="32"/>
          <w:highlight w:val="none"/>
          <w:u w:val="none"/>
        </w:rPr>
        <w:t xml:space="preserve"> 万元，与上年相比增加 </w:t>
      </w:r>
      <w:r>
        <w:rPr>
          <w:rFonts w:hint="eastAsia" w:eastAsia="仿宋_GB2312"/>
          <w:color w:val="auto"/>
          <w:sz w:val="32"/>
          <w:szCs w:val="32"/>
          <w:highlight w:val="none"/>
          <w:u w:val="none"/>
          <w:lang w:val="en-US" w:eastAsia="zh-CN"/>
        </w:rPr>
        <w:t>694</w:t>
      </w:r>
      <w:r>
        <w:rPr>
          <w:rFonts w:eastAsia="仿宋_GB2312"/>
          <w:color w:val="auto"/>
          <w:sz w:val="32"/>
          <w:szCs w:val="32"/>
          <w:highlight w:val="none"/>
          <w:u w:val="none"/>
        </w:rPr>
        <w:t xml:space="preserve"> 万元，增长 </w:t>
      </w:r>
      <w:r>
        <w:rPr>
          <w:rFonts w:hint="eastAsia" w:eastAsia="仿宋_GB2312"/>
          <w:color w:val="auto"/>
          <w:sz w:val="32"/>
          <w:szCs w:val="32"/>
          <w:highlight w:val="none"/>
          <w:u w:val="none"/>
          <w:lang w:val="en-US" w:eastAsia="zh-CN"/>
        </w:rPr>
        <w:t>5.23</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2025年底我院科研经费的增加，新批复自治区科技厅科技计划项目</w:t>
      </w:r>
      <w:r>
        <w:rPr>
          <w:rFonts w:eastAsia="仿宋_GB2312"/>
          <w:color w:val="auto"/>
          <w:sz w:val="32"/>
          <w:szCs w:val="32"/>
          <w:highlight w:val="none"/>
          <w:u w:val="none"/>
        </w:rPr>
        <w:t>。</w:t>
      </w:r>
    </w:p>
    <w:p w14:paraId="2FD621C3">
      <w:pPr>
        <w:pStyle w:val="8"/>
        <w:tabs>
          <w:tab w:val="left" w:pos="1389"/>
          <w:tab w:val="left" w:pos="4911"/>
          <w:tab w:val="left" w:pos="599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（2）政府性基金预算拨款收入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12BA04EF">
      <w:pPr>
        <w:pStyle w:val="8"/>
        <w:tabs>
          <w:tab w:val="left" w:pos="1389"/>
          <w:tab w:val="left" w:pos="4911"/>
          <w:tab w:val="left" w:pos="6205"/>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（3）国有资本经营预算拨款收入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2AEB9A04">
      <w:pPr>
        <w:pStyle w:val="8"/>
        <w:tabs>
          <w:tab w:val="left" w:pos="1389"/>
          <w:tab w:val="left" w:pos="4911"/>
          <w:tab w:val="left" w:pos="589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（4）财政专户管理资金收入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万元，与上年相比增加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043967CE">
      <w:pPr>
        <w:pStyle w:val="8"/>
        <w:tabs>
          <w:tab w:val="left" w:pos="3310"/>
          <w:tab w:val="left" w:pos="3807"/>
          <w:tab w:val="left" w:pos="9433"/>
        </w:tabs>
        <w:spacing w:after="0" w:line="600" w:lineRule="exact"/>
        <w:ind w:firstLine="640" w:firstLineChars="200"/>
        <w:rPr>
          <w:rFonts w:hint="eastAsia" w:ascii="仿宋_GB2312" w:hAnsi="仿宋_GB2312" w:eastAsia="仿宋_GB2312"/>
          <w:color w:val="auto"/>
          <w:sz w:val="32"/>
          <w:szCs w:val="24"/>
          <w:highlight w:val="none"/>
          <w:u w:val="none"/>
        </w:rPr>
      </w:pPr>
      <w:r>
        <w:rPr>
          <w:rFonts w:eastAsia="仿宋_GB2312"/>
          <w:color w:val="auto"/>
          <w:sz w:val="32"/>
          <w:szCs w:val="32"/>
          <w:highlight w:val="none"/>
          <w:u w:val="none"/>
        </w:rPr>
        <w:t>（5）事业收入</w:t>
      </w:r>
      <w:r>
        <w:rPr>
          <w:rFonts w:hint="eastAsia" w:eastAsia="仿宋_GB2312"/>
          <w:color w:val="auto"/>
          <w:sz w:val="32"/>
          <w:szCs w:val="32"/>
          <w:highlight w:val="none"/>
          <w:u w:val="none"/>
          <w:lang w:val="en-US" w:eastAsia="zh-CN"/>
        </w:rPr>
        <w:t>323522.76</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3522.76.</w:t>
      </w:r>
      <w:r>
        <w:rPr>
          <w:rFonts w:eastAsia="仿宋_GB2312"/>
          <w:color w:val="auto"/>
          <w:sz w:val="32"/>
          <w:szCs w:val="32"/>
          <w:highlight w:val="none"/>
          <w:u w:val="none"/>
        </w:rPr>
        <w:t xml:space="preserve">     万元，增长 </w:t>
      </w:r>
      <w:r>
        <w:rPr>
          <w:rFonts w:hint="eastAsia" w:eastAsia="仿宋_GB2312"/>
          <w:color w:val="auto"/>
          <w:sz w:val="32"/>
          <w:szCs w:val="32"/>
          <w:highlight w:val="none"/>
          <w:u w:val="none"/>
          <w:lang w:val="en-US" w:eastAsia="zh-CN"/>
        </w:rPr>
        <w:t>1.1</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24"/>
          <w:highlight w:val="none"/>
          <w:u w:val="none"/>
          <w:lang w:val="en-US" w:eastAsia="zh-CN"/>
        </w:rPr>
        <w:t>考虑到我院食堂2026年计划收回医院运营，故食堂相关收入合并报入医院事业收入，另外2026年医院科研相对增加均导致医院事业收入相较于去年略有增加。</w:t>
      </w:r>
    </w:p>
    <w:p w14:paraId="3900631F">
      <w:pPr>
        <w:pStyle w:val="8"/>
        <w:tabs>
          <w:tab w:val="left" w:pos="1389"/>
          <w:tab w:val="left" w:pos="4911"/>
          <w:tab w:val="left" w:pos="590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（6）事业单位经营收入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万元，与上年相比增加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62EE6A43">
      <w:pPr>
        <w:pStyle w:val="8"/>
        <w:tabs>
          <w:tab w:val="left" w:pos="4320"/>
          <w:tab w:val="left" w:pos="9433"/>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（7）上级补助收入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7AF4B38A">
      <w:pPr>
        <w:pStyle w:val="8"/>
        <w:tabs>
          <w:tab w:val="left" w:pos="1389"/>
          <w:tab w:val="left" w:pos="4911"/>
          <w:tab w:val="left" w:pos="590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（8）附属单位上缴收入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365F7300">
      <w:pPr>
        <w:pStyle w:val="8"/>
        <w:tabs>
          <w:tab w:val="left" w:pos="3310"/>
          <w:tab w:val="left" w:pos="4121"/>
          <w:tab w:val="left" w:pos="943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（9）其他收入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万元，与上年相比减少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万元，减少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05D6D6B8">
      <w:pPr>
        <w:pStyle w:val="8"/>
        <w:tabs>
          <w:tab w:val="left" w:pos="3310"/>
          <w:tab w:val="left" w:pos="4280"/>
          <w:tab w:val="left" w:pos="943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2．上年结转结余 </w:t>
      </w:r>
      <w:r>
        <w:rPr>
          <w:rFonts w:hint="eastAsia" w:eastAsia="仿宋_GB2312"/>
          <w:color w:val="auto"/>
          <w:sz w:val="32"/>
          <w:szCs w:val="32"/>
          <w:highlight w:val="none"/>
          <w:u w:val="none"/>
          <w:lang w:val="en-US" w:eastAsia="zh-CN"/>
        </w:rPr>
        <w:t>5300.33</w:t>
      </w:r>
      <w:r>
        <w:rPr>
          <w:rFonts w:eastAsia="仿宋_GB2312"/>
          <w:color w:val="auto"/>
          <w:sz w:val="32"/>
          <w:szCs w:val="32"/>
          <w:highlight w:val="none"/>
          <w:u w:val="none"/>
        </w:rPr>
        <w:t xml:space="preserve"> 万元。与上年相比</w:t>
      </w:r>
      <w:r>
        <w:rPr>
          <w:rFonts w:hint="eastAsia" w:eastAsia="仿宋_GB2312"/>
          <w:color w:val="auto"/>
          <w:sz w:val="32"/>
          <w:szCs w:val="32"/>
          <w:highlight w:val="none"/>
          <w:u w:val="none"/>
          <w:lang w:val="en-US" w:eastAsia="zh-CN"/>
        </w:rPr>
        <w:t>增加2885.27</w:t>
      </w:r>
      <w:r>
        <w:rPr>
          <w:rFonts w:eastAsia="仿宋_GB2312"/>
          <w:color w:val="auto"/>
          <w:sz w:val="32"/>
          <w:szCs w:val="32"/>
          <w:highlight w:val="none"/>
          <w:u w:val="none"/>
        </w:rPr>
        <w:t xml:space="preserve"> 万元，减少</w:t>
      </w:r>
      <w:r>
        <w:rPr>
          <w:rFonts w:hint="eastAsia" w:eastAsia="仿宋_GB2312"/>
          <w:color w:val="auto"/>
          <w:sz w:val="32"/>
          <w:szCs w:val="32"/>
          <w:highlight w:val="none"/>
          <w:u w:val="none"/>
          <w:lang w:val="en-US" w:eastAsia="zh-CN"/>
        </w:rPr>
        <w:t>119.47</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2025年底我单位新批复自治区科技厅科技计划科研项目38项，因临近关网已无法支出，故2025年底结转结余资金较多</w:t>
      </w:r>
      <w:r>
        <w:rPr>
          <w:rFonts w:eastAsia="仿宋_GB2312"/>
          <w:color w:val="auto"/>
          <w:sz w:val="32"/>
          <w:szCs w:val="32"/>
          <w:highlight w:val="none"/>
          <w:u w:val="none"/>
        </w:rPr>
        <w:t>。</w:t>
      </w:r>
    </w:p>
    <w:p w14:paraId="1F815344">
      <w:pPr>
        <w:pStyle w:val="8"/>
        <w:tabs>
          <w:tab w:val="left" w:pos="4275"/>
        </w:tabs>
        <w:spacing w:after="0" w:line="600" w:lineRule="exact"/>
        <w:ind w:firstLine="643" w:firstLineChars="200"/>
        <w:rPr>
          <w:rFonts w:ascii="楷体" w:hAnsi="楷体" w:eastAsia="楷体" w:cs="楷体"/>
          <w:b/>
          <w:bCs/>
          <w:color w:val="auto"/>
          <w:sz w:val="32"/>
          <w:szCs w:val="32"/>
          <w:highlight w:val="none"/>
          <w:u w:val="none"/>
        </w:rPr>
      </w:pPr>
      <w:r>
        <w:rPr>
          <w:rFonts w:hint="eastAsia" w:ascii="楷体" w:hAnsi="楷体" w:eastAsia="楷体" w:cs="楷体"/>
          <w:b/>
          <w:bCs/>
          <w:color w:val="auto"/>
          <w:sz w:val="32"/>
          <w:szCs w:val="32"/>
          <w:highlight w:val="none"/>
          <w:u w:val="none"/>
        </w:rPr>
        <w:t>（二）支出预算总计</w:t>
      </w:r>
      <w:r>
        <w:rPr>
          <w:rFonts w:hint="eastAsia" w:ascii="Times New Roman" w:hAnsi="Times New Roman" w:eastAsia="仿宋_GB2312" w:cs="仿宋"/>
          <w:color w:val="auto"/>
          <w:sz w:val="32"/>
          <w:szCs w:val="32"/>
          <w:highlight w:val="none"/>
          <w:u w:val="none"/>
        </w:rPr>
        <w:t xml:space="preserve"> </w:t>
      </w:r>
      <w:r>
        <w:rPr>
          <w:rFonts w:hint="eastAsia" w:eastAsia="仿宋_GB2312" w:cs="仿宋"/>
          <w:color w:val="auto"/>
          <w:sz w:val="32"/>
          <w:szCs w:val="32"/>
          <w:highlight w:val="none"/>
          <w:u w:val="none"/>
          <w:lang w:val="en-US" w:eastAsia="zh-CN"/>
        </w:rPr>
        <w:t>342787.49</w:t>
      </w:r>
      <w:r>
        <w:rPr>
          <w:rFonts w:hint="eastAsia" w:ascii="Times New Roman" w:hAnsi="Times New Roman" w:eastAsia="仿宋_GB2312" w:cs="仿宋"/>
          <w:color w:val="auto"/>
          <w:sz w:val="32"/>
          <w:szCs w:val="32"/>
          <w:highlight w:val="none"/>
          <w:u w:val="none"/>
        </w:rPr>
        <w:t xml:space="preserve"> </w:t>
      </w:r>
      <w:r>
        <w:rPr>
          <w:rFonts w:hint="eastAsia" w:ascii="楷体" w:hAnsi="楷体" w:eastAsia="楷体" w:cs="楷体"/>
          <w:b/>
          <w:bCs/>
          <w:color w:val="auto"/>
          <w:sz w:val="32"/>
          <w:szCs w:val="32"/>
          <w:highlight w:val="none"/>
          <w:u w:val="none"/>
        </w:rPr>
        <w:t>万元。包括：</w:t>
      </w:r>
    </w:p>
    <w:p w14:paraId="77BC23AD">
      <w:pPr>
        <w:pStyle w:val="8"/>
        <w:tabs>
          <w:tab w:val="left" w:pos="379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1．本年支出合计</w:t>
      </w:r>
      <w:r>
        <w:rPr>
          <w:rFonts w:hint="eastAsia" w:eastAsia="仿宋_GB2312"/>
          <w:color w:val="auto"/>
          <w:sz w:val="32"/>
          <w:szCs w:val="32"/>
          <w:highlight w:val="none"/>
          <w:u w:val="none"/>
          <w:lang w:val="en-US" w:eastAsia="zh-CN"/>
        </w:rPr>
        <w:t>342787.49</w:t>
      </w:r>
      <w:r>
        <w:rPr>
          <w:rFonts w:eastAsia="仿宋_GB2312"/>
          <w:color w:val="auto"/>
          <w:sz w:val="32"/>
          <w:szCs w:val="32"/>
          <w:highlight w:val="none"/>
          <w:u w:val="none"/>
        </w:rPr>
        <w:t>万元。</w:t>
      </w:r>
    </w:p>
    <w:p w14:paraId="486F7461">
      <w:pPr>
        <w:pStyle w:val="8"/>
        <w:tabs>
          <w:tab w:val="left" w:pos="3288"/>
          <w:tab w:val="left" w:pos="5641"/>
          <w:tab w:val="left" w:pos="677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w:t>
      </w:r>
      <w:r>
        <w:rPr>
          <w:rFonts w:hint="eastAsia" w:eastAsia="仿宋_GB2312"/>
          <w:color w:val="auto"/>
          <w:sz w:val="32"/>
          <w:szCs w:val="32"/>
          <w:highlight w:val="none"/>
          <w:u w:val="none"/>
          <w:lang w:val="en-US" w:eastAsia="zh-CN"/>
        </w:rPr>
        <w:t>科学技术</w:t>
      </w:r>
      <w:r>
        <w:rPr>
          <w:rFonts w:eastAsia="仿宋_GB2312"/>
          <w:color w:val="auto"/>
          <w:sz w:val="32"/>
          <w:szCs w:val="32"/>
          <w:highlight w:val="none"/>
          <w:u w:val="none"/>
        </w:rPr>
        <w:t>支出</w:t>
      </w:r>
      <w:r>
        <w:rPr>
          <w:rFonts w:hint="eastAsia" w:eastAsia="仿宋_GB2312"/>
          <w:color w:val="auto"/>
          <w:sz w:val="32"/>
          <w:szCs w:val="32"/>
          <w:highlight w:val="none"/>
          <w:u w:val="none"/>
          <w:lang w:val="en-US" w:eastAsia="zh-CN"/>
        </w:rPr>
        <w:t>2340.72</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国家开展科学研究与实验发展阶段与科技活动有关的人、财、物等资源的投入科技经费总量</w:t>
      </w:r>
      <w:r>
        <w:rPr>
          <w:rFonts w:eastAsia="仿宋_GB2312"/>
          <w:color w:val="auto"/>
          <w:sz w:val="32"/>
          <w:szCs w:val="32"/>
          <w:highlight w:val="none"/>
          <w:u w:val="none"/>
        </w:rPr>
        <w:t>。与上年相比增加</w:t>
      </w:r>
      <w:r>
        <w:rPr>
          <w:rFonts w:hint="eastAsia" w:eastAsia="仿宋_GB2312"/>
          <w:color w:val="auto"/>
          <w:sz w:val="32"/>
          <w:szCs w:val="32"/>
          <w:highlight w:val="none"/>
          <w:u w:val="none"/>
          <w:lang w:val="en-US" w:eastAsia="zh-CN"/>
        </w:rPr>
        <w:t>1183.13</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102.21</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eastAsia="仿宋_GB2312"/>
          <w:color w:val="auto"/>
          <w:sz w:val="32"/>
          <w:szCs w:val="32"/>
          <w:highlight w:val="none"/>
          <w:u w:val="none"/>
          <w:lang w:val="en-US" w:eastAsia="zh-CN"/>
        </w:rPr>
        <w:t>2025年底</w:t>
      </w:r>
      <w:r>
        <w:rPr>
          <w:rFonts w:hint="eastAsia" w:ascii="仿宋_GB2312" w:hAnsi="仿宋_GB2312" w:eastAsia="仿宋_GB2312"/>
          <w:color w:val="auto"/>
          <w:sz w:val="32"/>
          <w:szCs w:val="32"/>
          <w:highlight w:val="none"/>
          <w:u w:val="none"/>
          <w:lang w:val="en-US" w:eastAsia="zh-CN"/>
        </w:rPr>
        <w:t>新批复自治区科技厅科技计划科研项目38项</w:t>
      </w:r>
      <w:r>
        <w:rPr>
          <w:rFonts w:eastAsia="仿宋_GB2312"/>
          <w:color w:val="auto"/>
          <w:sz w:val="32"/>
          <w:szCs w:val="32"/>
          <w:highlight w:val="none"/>
          <w:u w:val="none"/>
        </w:rPr>
        <w:t>。</w:t>
      </w:r>
    </w:p>
    <w:p w14:paraId="4E7AAAA3">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w:t>
      </w:r>
      <w:r>
        <w:rPr>
          <w:rFonts w:hint="eastAsia" w:eastAsia="仿宋_GB2312"/>
          <w:color w:val="auto"/>
          <w:sz w:val="32"/>
          <w:szCs w:val="32"/>
          <w:highlight w:val="none"/>
          <w:u w:val="none"/>
          <w:lang w:val="en-US" w:eastAsia="zh-CN"/>
        </w:rPr>
        <w:t>社会保障和就业</w:t>
      </w:r>
      <w:r>
        <w:rPr>
          <w:rFonts w:eastAsia="仿宋_GB2312"/>
          <w:color w:val="auto"/>
          <w:sz w:val="32"/>
          <w:szCs w:val="32"/>
          <w:highlight w:val="none"/>
          <w:u w:val="none"/>
        </w:rPr>
        <w:t>支出</w:t>
      </w:r>
      <w:r>
        <w:rPr>
          <w:rFonts w:hint="eastAsia" w:eastAsia="仿宋_GB2312"/>
          <w:color w:val="auto"/>
          <w:sz w:val="32"/>
          <w:szCs w:val="32"/>
          <w:highlight w:val="none"/>
          <w:u w:val="none"/>
          <w:lang w:val="en-US" w:eastAsia="zh-CN"/>
        </w:rPr>
        <w:t>15334.26</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行政事业单位离退休、抚恤，养老保险及职业年金支出</w:t>
      </w:r>
      <w:r>
        <w:rPr>
          <w:rFonts w:eastAsia="仿宋_GB2312"/>
          <w:color w:val="auto"/>
          <w:sz w:val="32"/>
          <w:szCs w:val="32"/>
          <w:highlight w:val="none"/>
          <w:u w:val="none"/>
        </w:rPr>
        <w:t xml:space="preserve">。与上年相比增加 </w:t>
      </w:r>
      <w:r>
        <w:rPr>
          <w:rFonts w:hint="eastAsia" w:eastAsia="仿宋_GB2312"/>
          <w:color w:val="auto"/>
          <w:sz w:val="32"/>
          <w:szCs w:val="32"/>
          <w:highlight w:val="none"/>
          <w:u w:val="none"/>
        </w:rPr>
        <w:t>1</w:t>
      </w:r>
      <w:r>
        <w:rPr>
          <w:rFonts w:hint="eastAsia" w:eastAsia="仿宋_GB2312"/>
          <w:color w:val="auto"/>
          <w:sz w:val="32"/>
          <w:szCs w:val="32"/>
          <w:highlight w:val="none"/>
          <w:u w:val="none"/>
          <w:lang w:val="en-US" w:eastAsia="zh-CN"/>
        </w:rPr>
        <w:t>4477.13</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41.24</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2025年因业务需要计划招聘新职工增加</w:t>
      </w:r>
      <w:r>
        <w:rPr>
          <w:rFonts w:eastAsia="仿宋_GB2312"/>
          <w:color w:val="auto"/>
          <w:sz w:val="32"/>
          <w:szCs w:val="32"/>
          <w:highlight w:val="none"/>
          <w:u w:val="none"/>
        </w:rPr>
        <w:t>。</w:t>
      </w:r>
    </w:p>
    <w:p w14:paraId="6E7B1BD4">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val="en-US" w:eastAsia="zh-CN"/>
        </w:rPr>
      </w:pP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3</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卫生健康支出316251.74</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城市综合医院卫生健康事务支出</w:t>
      </w:r>
      <w:r>
        <w:rPr>
          <w:rFonts w:eastAsia="仿宋_GB2312"/>
          <w:color w:val="auto"/>
          <w:sz w:val="32"/>
          <w:szCs w:val="32"/>
          <w:highlight w:val="none"/>
          <w:u w:val="none"/>
        </w:rPr>
        <w:t>。与上年相比增加</w:t>
      </w:r>
      <w:r>
        <w:rPr>
          <w:rFonts w:hint="eastAsia" w:eastAsia="仿宋_GB2312"/>
          <w:color w:val="auto"/>
          <w:sz w:val="32"/>
          <w:szCs w:val="32"/>
          <w:highlight w:val="none"/>
          <w:u w:val="none"/>
          <w:lang w:val="en-US" w:eastAsia="zh-CN"/>
        </w:rPr>
        <w:t>323.6</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0.1</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w:t>
      </w:r>
      <w:r>
        <w:rPr>
          <w:rFonts w:hint="eastAsia" w:eastAsia="仿宋_GB2312"/>
          <w:color w:val="auto"/>
          <w:sz w:val="32"/>
          <w:szCs w:val="32"/>
          <w:highlight w:val="none"/>
          <w:u w:val="none"/>
          <w:lang w:val="en-US" w:eastAsia="zh-CN"/>
        </w:rPr>
        <w:t>是一般公共预算拨款卫生健康支出增加2100余万元，上年结转区域专科医疗中心及自治区医疗质量控制中心项目结转资金较多，导致2026年卫生健康支出增加，另外考虑到我院医疗收入压缩，与之对应产生的成本相应减少。</w:t>
      </w:r>
    </w:p>
    <w:p w14:paraId="02E396EE">
      <w:pPr>
        <w:pStyle w:val="8"/>
        <w:tabs>
          <w:tab w:val="left" w:pos="2671"/>
          <w:tab w:val="left" w:pos="5000"/>
          <w:tab w:val="left" w:pos="6190"/>
        </w:tabs>
        <w:spacing w:after="0" w:line="600" w:lineRule="exact"/>
        <w:ind w:firstLine="640" w:firstLineChars="200"/>
        <w:rPr>
          <w:rFonts w:hint="default" w:eastAsia="仿宋_GB2312"/>
          <w:color w:val="auto"/>
          <w:sz w:val="32"/>
          <w:szCs w:val="32"/>
          <w:highlight w:val="none"/>
          <w:u w:val="none"/>
          <w:lang w:val="en-US" w:eastAsia="zh-CN"/>
        </w:rPr>
      </w:pP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4</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住房保障支出8860.77</w:t>
      </w:r>
      <w:r>
        <w:rPr>
          <w:rFonts w:eastAsia="仿宋_GB2312"/>
          <w:color w:val="auto"/>
          <w:sz w:val="32"/>
          <w:szCs w:val="32"/>
          <w:highlight w:val="none"/>
          <w:u w:val="none"/>
        </w:rPr>
        <w:t>万元，主要用于</w:t>
      </w:r>
      <w:r>
        <w:rPr>
          <w:rFonts w:hint="eastAsia" w:eastAsia="仿宋_GB2312"/>
          <w:color w:val="auto"/>
          <w:sz w:val="32"/>
          <w:szCs w:val="32"/>
          <w:highlight w:val="none"/>
          <w:u w:val="none"/>
          <w:lang w:val="en-US" w:eastAsia="zh-CN"/>
        </w:rPr>
        <w:t>职工</w:t>
      </w:r>
      <w:r>
        <w:rPr>
          <w:rFonts w:hint="eastAsia" w:ascii="仿宋_GB2312" w:hAnsi="仿宋_GB2312" w:eastAsia="仿宋_GB2312"/>
          <w:color w:val="auto"/>
          <w:sz w:val="32"/>
          <w:szCs w:val="32"/>
          <w:highlight w:val="none"/>
          <w:u w:val="none"/>
          <w:lang w:val="en-US" w:eastAsia="zh-CN"/>
        </w:rPr>
        <w:t>住房公积金的缴纳</w:t>
      </w:r>
      <w:r>
        <w:rPr>
          <w:rFonts w:eastAsia="仿宋_GB2312"/>
          <w:color w:val="auto"/>
          <w:sz w:val="32"/>
          <w:szCs w:val="32"/>
          <w:highlight w:val="none"/>
          <w:u w:val="none"/>
        </w:rPr>
        <w:t xml:space="preserve">。与上年相比增加 </w:t>
      </w:r>
      <w:r>
        <w:rPr>
          <w:rFonts w:hint="eastAsia" w:eastAsia="仿宋_GB2312"/>
          <w:color w:val="auto"/>
          <w:sz w:val="32"/>
          <w:szCs w:val="32"/>
          <w:highlight w:val="none"/>
          <w:u w:val="none"/>
          <w:lang w:val="en-US" w:eastAsia="zh-CN"/>
        </w:rPr>
        <w:t>1118.17</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14.44</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ascii="仿宋_GB2312" w:hAnsi="仿宋_GB2312" w:eastAsia="仿宋_GB2312"/>
          <w:color w:val="auto"/>
          <w:sz w:val="32"/>
          <w:szCs w:val="32"/>
          <w:highlight w:val="none"/>
          <w:u w:val="none"/>
          <w:lang w:val="en-US" w:eastAsia="zh-CN"/>
        </w:rPr>
        <w:t>2025年因业务需要计划招聘新职工增加</w:t>
      </w:r>
      <w:r>
        <w:rPr>
          <w:rFonts w:eastAsia="仿宋_GB2312"/>
          <w:color w:val="auto"/>
          <w:sz w:val="32"/>
          <w:szCs w:val="32"/>
          <w:highlight w:val="none"/>
          <w:u w:val="none"/>
        </w:rPr>
        <w:t>。</w:t>
      </w:r>
    </w:p>
    <w:p w14:paraId="0E2D9A4E">
      <w:pPr>
        <w:pStyle w:val="8"/>
        <w:tabs>
          <w:tab w:val="left" w:pos="411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2．年终结转结余</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p>
    <w:p w14:paraId="00A47187">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二、收入预算情况说明</w:t>
      </w:r>
    </w:p>
    <w:p w14:paraId="74A27DEE">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收入预算</w:t>
      </w:r>
      <w:r>
        <w:rPr>
          <w:rFonts w:hint="eastAsia" w:eastAsia="仿宋_GB2312"/>
          <w:color w:val="auto"/>
          <w:sz w:val="32"/>
          <w:szCs w:val="32"/>
          <w:highlight w:val="none"/>
          <w:u w:val="none"/>
          <w:lang w:val="en-US" w:eastAsia="zh-CN"/>
        </w:rPr>
        <w:t>总</w:t>
      </w:r>
      <w:r>
        <w:rPr>
          <w:rFonts w:eastAsia="仿宋_GB2312"/>
          <w:color w:val="auto"/>
          <w:sz w:val="32"/>
          <w:szCs w:val="32"/>
          <w:highlight w:val="none"/>
          <w:u w:val="none"/>
        </w:rPr>
        <w:t>计</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342787.49</w:t>
      </w:r>
      <w:r>
        <w:rPr>
          <w:rFonts w:eastAsia="仿宋_GB2312"/>
          <w:color w:val="auto"/>
          <w:sz w:val="32"/>
          <w:szCs w:val="32"/>
          <w:highlight w:val="none"/>
          <w:u w:val="none"/>
        </w:rPr>
        <w:t>万元，包括本年收入</w:t>
      </w:r>
      <w:r>
        <w:rPr>
          <w:rFonts w:hint="eastAsia" w:eastAsia="仿宋_GB2312"/>
          <w:color w:val="auto"/>
          <w:sz w:val="32"/>
          <w:szCs w:val="32"/>
          <w:highlight w:val="none"/>
          <w:u w:val="none"/>
          <w:lang w:val="en-US" w:eastAsia="zh-CN"/>
        </w:rPr>
        <w:t>337487.16</w:t>
      </w:r>
      <w:r>
        <w:rPr>
          <w:rFonts w:eastAsia="仿宋_GB2312"/>
          <w:color w:val="auto"/>
          <w:sz w:val="32"/>
          <w:szCs w:val="32"/>
          <w:highlight w:val="none"/>
          <w:u w:val="none"/>
        </w:rPr>
        <w:t>万元，上年结转结余</w:t>
      </w:r>
      <w:r>
        <w:rPr>
          <w:rFonts w:hint="eastAsia" w:eastAsia="仿宋_GB2312"/>
          <w:color w:val="auto"/>
          <w:sz w:val="32"/>
          <w:szCs w:val="32"/>
          <w:highlight w:val="none"/>
          <w:u w:val="none"/>
          <w:lang w:val="en-US" w:eastAsia="zh-CN"/>
        </w:rPr>
        <w:t>5300.33</w:t>
      </w:r>
      <w:r>
        <w:rPr>
          <w:rFonts w:eastAsia="仿宋_GB2312"/>
          <w:color w:val="auto"/>
          <w:sz w:val="32"/>
          <w:szCs w:val="32"/>
          <w:highlight w:val="none"/>
          <w:u w:val="none"/>
        </w:rPr>
        <w:t>万元。其中：</w:t>
      </w:r>
    </w:p>
    <w:p w14:paraId="53BD7C03">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本年一般公共预算收入</w:t>
      </w:r>
      <w:r>
        <w:rPr>
          <w:rFonts w:hint="eastAsia" w:eastAsia="仿宋_GB2312"/>
          <w:color w:val="auto"/>
          <w:sz w:val="32"/>
          <w:szCs w:val="32"/>
          <w:highlight w:val="none"/>
          <w:u w:val="none"/>
          <w:lang w:val="en-US" w:eastAsia="zh-CN"/>
        </w:rPr>
        <w:t>13964.4</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4.07</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C693A71">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本年政府性基金预算收入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EACB952">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本年国有资本经营预算收入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38217325">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本年财政专户管理资金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3C773B7E">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本年事业收入</w:t>
      </w:r>
      <w:r>
        <w:rPr>
          <w:rFonts w:hint="eastAsia" w:eastAsia="仿宋_GB2312"/>
          <w:color w:val="auto"/>
          <w:sz w:val="32"/>
          <w:szCs w:val="32"/>
          <w:highlight w:val="none"/>
          <w:u w:val="none"/>
          <w:lang w:val="en-US" w:eastAsia="zh-CN"/>
        </w:rPr>
        <w:t>323522.76</w:t>
      </w:r>
      <w:r>
        <w:rPr>
          <w:rFonts w:eastAsia="仿宋_GB2312"/>
          <w:color w:val="auto"/>
          <w:sz w:val="32"/>
          <w:szCs w:val="32"/>
          <w:highlight w:val="none"/>
          <w:u w:val="none"/>
        </w:rPr>
        <w:t xml:space="preserve">万元，占 </w:t>
      </w:r>
      <w:r>
        <w:rPr>
          <w:rFonts w:hint="eastAsia" w:eastAsia="仿宋_GB2312"/>
          <w:color w:val="auto"/>
          <w:sz w:val="32"/>
          <w:szCs w:val="32"/>
          <w:highlight w:val="none"/>
          <w:u w:val="none"/>
          <w:lang w:val="en-US" w:eastAsia="zh-CN"/>
        </w:rPr>
        <w:t>94.38</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17C13959">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本年事业单位经营收入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ECC3FF6">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本年上级补助收入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61D12B8B">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本年附属单位上缴收入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4C54B0D1">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本年其他收入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2D2F884F">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上年结转结余的一般公共预算收入</w:t>
      </w:r>
      <w:r>
        <w:rPr>
          <w:rFonts w:hint="eastAsia" w:eastAsia="仿宋_GB2312"/>
          <w:color w:val="auto"/>
          <w:sz w:val="32"/>
          <w:szCs w:val="32"/>
          <w:highlight w:val="none"/>
          <w:u w:val="none"/>
          <w:lang w:val="en-US" w:eastAsia="zh-CN"/>
        </w:rPr>
        <w:t>5300.33</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1.55</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7AB6D0D">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上年结转结余的政府性基金预算收入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118B6855">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上年结转结余的国有资本经营预算收入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4BAE5F08">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上年结转结余的财政专户管理资金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11FA8F93">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eastAsia="仿宋_GB2312"/>
          <w:color w:val="auto"/>
          <w:sz w:val="32"/>
          <w:szCs w:val="32"/>
          <w:highlight w:val="none"/>
          <w:u w:val="none"/>
        </w:rPr>
        <w:t>上年结转结余的单位资金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hint="eastAsia" w:eastAsia="仿宋_GB2312"/>
          <w:color w:val="auto"/>
          <w:sz w:val="32"/>
          <w:szCs w:val="32"/>
          <w:highlight w:val="none"/>
          <w:u w:val="none"/>
          <w:lang w:eastAsia="zh-CN"/>
        </w:rPr>
        <w:t>。</w:t>
      </w:r>
    </w:p>
    <w:p w14:paraId="735DB6DE">
      <w:pPr>
        <w:tabs>
          <w:tab w:val="left" w:pos="1334"/>
        </w:tabs>
        <w:bidi w:val="0"/>
        <w:jc w:val="left"/>
        <w:rPr>
          <w:rFonts w:hint="eastAsia" w:eastAsia="宋体"/>
          <w:u w:val="none"/>
          <w:lang w:eastAsia="zh-CN"/>
        </w:rPr>
      </w:pPr>
    </w:p>
    <w:p w14:paraId="29853393">
      <w:pPr>
        <w:pStyle w:val="18"/>
        <w:tabs>
          <w:tab w:val="left" w:pos="0"/>
        </w:tabs>
        <w:ind w:left="0" w:leftChars="0" w:firstLine="0"/>
        <w:jc w:val="center"/>
        <w:rPr>
          <w:rFonts w:hint="eastAsia" w:eastAsia="仿宋_GB2312"/>
          <w:color w:val="auto"/>
          <w:sz w:val="32"/>
          <w:szCs w:val="32"/>
          <w:highlight w:val="none"/>
          <w:u w:val="none"/>
          <w:lang w:eastAsia="zh-CN"/>
        </w:rPr>
      </w:pPr>
      <w:r>
        <w:rPr>
          <w:color w:val="auto"/>
          <w:sz w:val="32"/>
          <w:u w:val="none"/>
        </w:rPr>
        <mc:AlternateContent>
          <mc:Choice Requires="wps">
            <w:drawing>
              <wp:anchor distT="0" distB="0" distL="114300" distR="114300" simplePos="0" relativeHeight="251659264" behindDoc="0" locked="0" layoutInCell="1" allowOverlap="1">
                <wp:simplePos x="0" y="0"/>
                <wp:positionH relativeFrom="column">
                  <wp:posOffset>4366895</wp:posOffset>
                </wp:positionH>
                <wp:positionV relativeFrom="paragraph">
                  <wp:posOffset>83185</wp:posOffset>
                </wp:positionV>
                <wp:extent cx="935355" cy="242570"/>
                <wp:effectExtent l="4445" t="4445" r="12700" b="19685"/>
                <wp:wrapNone/>
                <wp:docPr id="6" name="文本框 6"/>
                <wp:cNvGraphicFramePr/>
                <a:graphic xmlns:a="http://schemas.openxmlformats.org/drawingml/2006/main">
                  <a:graphicData uri="http://schemas.microsoft.com/office/word/2010/wordprocessingShape">
                    <wps:wsp>
                      <wps:cNvSpPr txBox="1"/>
                      <wps:spPr>
                        <a:xfrm>
                          <a:off x="5154295" y="3289935"/>
                          <a:ext cx="935355" cy="2425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5B5FAFD">
                            <w:pPr>
                              <w:rPr>
                                <w:rFonts w:hint="default" w:eastAsia="宋体"/>
                                <w:lang w:val="en-US" w:eastAsia="zh-CN"/>
                              </w:rPr>
                            </w:pPr>
                            <w:r>
                              <w:rPr>
                                <w:rFonts w:hint="eastAsia" w:eastAsia="宋体"/>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85pt;margin-top:6.55pt;height:19.1pt;width:73.65pt;z-index:251659264;mso-width-relative:page;mso-height-relative:page;" fillcolor="#FFFFFF [3201]" filled="t" stroked="t" coordsize="21600,21600" o:gfxdata="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5WYek1gAAAAkBAAAPAAAAAAAAAAEAIAAAACIAAABkcnMvZG93bnJldi54bWxQSwECFAAU&#10;AAAACACHTuJAL1UGH2UCAADCBAAADgAAAAAAAAABACAAAAAlAQAAZHJzL2Uyb0RvYy54bWxQSwUG&#10;AAAAAAYABgBZAQAA/AUAAAAA&#10;">
                <v:fill on="t" focussize="0,0"/>
                <v:stroke weight="0.5pt" color="#000000 [3204]" joinstyle="round"/>
                <v:imagedata o:title=""/>
                <o:lock v:ext="edit" aspectratio="f"/>
                <v:textbox>
                  <w:txbxContent>
                    <w:p w14:paraId="25B5FAFD">
                      <w:pPr>
                        <w:rPr>
                          <w:rFonts w:hint="default" w:eastAsia="宋体"/>
                          <w:lang w:val="en-US" w:eastAsia="zh-CN"/>
                        </w:rPr>
                      </w:pPr>
                      <w:r>
                        <w:rPr>
                          <w:rFonts w:hint="eastAsia" w:eastAsia="宋体"/>
                          <w:lang w:val="en-US" w:eastAsia="zh-CN"/>
                        </w:rPr>
                        <w:t>单位：万元</w:t>
                      </w:r>
                    </w:p>
                  </w:txbxContent>
                </v:textbox>
              </v:shape>
            </w:pict>
          </mc:Fallback>
        </mc:AlternateContent>
      </w:r>
      <w:r>
        <w:rPr>
          <w:rFonts w:hint="eastAsia" w:eastAsia="仿宋_GB2312"/>
          <w:color w:val="auto"/>
          <w:sz w:val="32"/>
          <w:szCs w:val="32"/>
          <w:highlight w:val="none"/>
          <w:u w:val="none"/>
          <w:lang w:eastAsia="zh-CN"/>
        </w:rPr>
        <w:drawing>
          <wp:inline distT="0" distB="0" distL="114300" distR="114300">
            <wp:extent cx="5123180" cy="2600960"/>
            <wp:effectExtent l="4445" t="4445" r="15875" b="234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6BD204D">
      <w:pPr>
        <w:pStyle w:val="18"/>
        <w:tabs>
          <w:tab w:val="left" w:pos="0"/>
        </w:tabs>
        <w:ind w:left="0" w:leftChars="0" w:firstLine="0"/>
        <w:jc w:val="center"/>
        <w:rPr>
          <w:rFonts w:hint="eastAsia" w:ascii="Times New Roman" w:hAnsi="Times New Roman" w:eastAsia="仿宋_GB2312" w:cs="仿宋"/>
          <w:color w:val="auto"/>
          <w:sz w:val="32"/>
          <w:szCs w:val="32"/>
          <w:highlight w:val="none"/>
          <w:u w:val="none"/>
          <w:lang w:eastAsia="zh-CN"/>
        </w:rPr>
      </w:pPr>
      <w:r>
        <w:rPr>
          <w:rFonts w:eastAsia="仿宋_GB2312"/>
          <w:color w:val="auto"/>
          <w:sz w:val="32"/>
          <w:szCs w:val="32"/>
          <w:highlight w:val="none"/>
          <w:u w:val="none"/>
        </w:rPr>
        <w:t>图1.收入预算图</w:t>
      </w:r>
    </w:p>
    <w:p w14:paraId="1FD4D741">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三、支出预算情况说明</w:t>
      </w:r>
    </w:p>
    <w:p w14:paraId="17C39C01">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内蒙古医科大学附属医院2025</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 xml:space="preserve">支出预算合计 </w:t>
      </w:r>
      <w:r>
        <w:rPr>
          <w:rFonts w:hint="eastAsia" w:eastAsia="仿宋_GB2312"/>
          <w:color w:val="auto"/>
          <w:sz w:val="32"/>
          <w:szCs w:val="32"/>
          <w:highlight w:val="none"/>
          <w:u w:val="none"/>
          <w:lang w:val="en-US" w:eastAsia="zh-CN"/>
        </w:rPr>
        <w:t>342787.49</w:t>
      </w:r>
      <w:r>
        <w:rPr>
          <w:rFonts w:eastAsia="仿宋_GB2312"/>
          <w:color w:val="auto"/>
          <w:sz w:val="32"/>
          <w:szCs w:val="32"/>
          <w:highlight w:val="none"/>
          <w:u w:val="none"/>
        </w:rPr>
        <w:t xml:space="preserve"> 万元，其中</w:t>
      </w:r>
      <w:r>
        <w:rPr>
          <w:rFonts w:hint="eastAsia" w:eastAsia="仿宋_GB2312"/>
          <w:color w:val="auto"/>
          <w:sz w:val="32"/>
          <w:szCs w:val="32"/>
          <w:highlight w:val="none"/>
          <w:u w:val="none"/>
          <w:lang w:eastAsia="zh-CN"/>
        </w:rPr>
        <w:t>：</w:t>
      </w:r>
    </w:p>
    <w:p w14:paraId="00DC539C">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eastAsia="仿宋_GB2312"/>
          <w:color w:val="auto"/>
          <w:sz w:val="32"/>
          <w:szCs w:val="32"/>
          <w:highlight w:val="none"/>
          <w:u w:val="none"/>
        </w:rPr>
        <w:t>基本支出</w:t>
      </w:r>
      <w:r>
        <w:rPr>
          <w:rFonts w:hint="eastAsia" w:eastAsia="仿宋_GB2312"/>
          <w:color w:val="auto"/>
          <w:sz w:val="32"/>
          <w:szCs w:val="32"/>
          <w:highlight w:val="none"/>
          <w:u w:val="none"/>
          <w:lang w:val="en-US" w:eastAsia="zh-CN"/>
        </w:rPr>
        <w:t>333870.9</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97.4</w:t>
      </w:r>
      <w:r>
        <w:rPr>
          <w:rFonts w:hint="eastAsia" w:ascii="仿宋_GB2312" w:hAnsi="仿宋_GB2312" w:eastAsia="仿宋_GB2312"/>
          <w:color w:val="auto"/>
          <w:sz w:val="32"/>
          <w:szCs w:val="32"/>
          <w:highlight w:val="none"/>
          <w:u w:val="none"/>
          <w:lang w:eastAsia="zh-CN"/>
        </w:rPr>
        <w:t>%</w:t>
      </w:r>
      <w:r>
        <w:rPr>
          <w:rFonts w:hint="eastAsia" w:eastAsia="仿宋_GB2312"/>
          <w:color w:val="auto"/>
          <w:sz w:val="32"/>
          <w:szCs w:val="32"/>
          <w:highlight w:val="none"/>
          <w:u w:val="none"/>
          <w:lang w:eastAsia="zh-CN"/>
        </w:rPr>
        <w:t>；</w:t>
      </w:r>
    </w:p>
    <w:p w14:paraId="4995D585">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项目支出</w:t>
      </w:r>
      <w:r>
        <w:rPr>
          <w:rFonts w:hint="eastAsia" w:eastAsia="仿宋_GB2312"/>
          <w:color w:val="auto"/>
          <w:sz w:val="32"/>
          <w:szCs w:val="32"/>
          <w:highlight w:val="none"/>
          <w:u w:val="none"/>
          <w:lang w:val="en-US" w:eastAsia="zh-CN"/>
        </w:rPr>
        <w:t>8916.59</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2.6</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21411525">
      <w:pPr>
        <w:pStyle w:val="8"/>
        <w:tabs>
          <w:tab w:val="left" w:pos="2671"/>
          <w:tab w:val="left" w:pos="5000"/>
          <w:tab w:val="left" w:pos="6190"/>
        </w:tabs>
        <w:spacing w:after="0" w:line="600" w:lineRule="exact"/>
        <w:ind w:firstLine="640" w:firstLineChars="200"/>
        <w:rPr>
          <w:rFonts w:ascii="Times New Roman" w:hAnsi="Times New Roman" w:eastAsia="仿宋_GB2312" w:cs="仿宋"/>
          <w:color w:val="auto"/>
          <w:sz w:val="32"/>
          <w:szCs w:val="32"/>
          <w:highlight w:val="none"/>
          <w:u w:val="none"/>
        </w:rPr>
      </w:pPr>
      <w:r>
        <w:rPr>
          <w:rFonts w:eastAsia="仿宋_GB2312"/>
          <w:color w:val="auto"/>
          <w:sz w:val="32"/>
          <w:szCs w:val="32"/>
          <w:highlight w:val="none"/>
          <w:u w:val="none"/>
        </w:rPr>
        <w:t>事业单位经营支出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2C0A0944">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上缴上级支出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73FBFBC0">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对附属单位补助支出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301D45CA">
      <w:pPr>
        <w:pStyle w:val="18"/>
        <w:ind w:left="0" w:leftChars="0" w:firstLine="220"/>
        <w:jc w:val="center"/>
        <w:rPr>
          <w:rFonts w:hint="default" w:eastAsia="仿宋_GB2312"/>
          <w:color w:val="auto"/>
          <w:sz w:val="32"/>
          <w:szCs w:val="32"/>
          <w:highlight w:val="none"/>
          <w:u w:val="none"/>
        </w:rPr>
      </w:pPr>
    </w:p>
    <w:p w14:paraId="19B979E0">
      <w:pPr>
        <w:pStyle w:val="18"/>
        <w:ind w:left="0" w:leftChars="0" w:firstLine="220"/>
        <w:jc w:val="center"/>
        <w:rPr>
          <w:rFonts w:hint="eastAsia" w:eastAsia="仿宋_GB2312"/>
          <w:color w:val="auto"/>
          <w:sz w:val="32"/>
          <w:szCs w:val="32"/>
          <w:highlight w:val="none"/>
          <w:u w:val="none"/>
          <w:lang w:eastAsia="zh-CN"/>
        </w:rPr>
      </w:pPr>
      <w:r>
        <w:rPr>
          <w:rFonts w:hint="eastAsia" w:eastAsia="仿宋_GB2312"/>
          <w:color w:val="auto"/>
          <w:sz w:val="32"/>
          <w:szCs w:val="32"/>
          <w:highlight w:val="none"/>
          <w:u w:val="none"/>
          <w:lang w:eastAsia="zh-CN"/>
        </w:rPr>
        <w:drawing>
          <wp:inline distT="0" distB="0" distL="114300" distR="114300">
            <wp:extent cx="5087620" cy="2807970"/>
            <wp:effectExtent l="4445" t="4445" r="13335"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color w:val="auto"/>
          <w:sz w:val="32"/>
          <w:u w:val="none"/>
        </w:rPr>
        <mc:AlternateContent>
          <mc:Choice Requires="wps">
            <w:drawing>
              <wp:anchor distT="0" distB="0" distL="114300" distR="114300" simplePos="0" relativeHeight="251660288" behindDoc="0" locked="0" layoutInCell="1" allowOverlap="1">
                <wp:simplePos x="0" y="0"/>
                <wp:positionH relativeFrom="column">
                  <wp:posOffset>4253865</wp:posOffset>
                </wp:positionH>
                <wp:positionV relativeFrom="paragraph">
                  <wp:posOffset>65405</wp:posOffset>
                </wp:positionV>
                <wp:extent cx="1048385" cy="278130"/>
                <wp:effectExtent l="4445" t="4445" r="13970" b="22225"/>
                <wp:wrapNone/>
                <wp:docPr id="8" name="文本框 8"/>
                <wp:cNvGraphicFramePr/>
                <a:graphic xmlns:a="http://schemas.openxmlformats.org/drawingml/2006/main">
                  <a:graphicData uri="http://schemas.microsoft.com/office/word/2010/wordprocessingShape">
                    <wps:wsp>
                      <wps:cNvSpPr txBox="1"/>
                      <wps:spPr>
                        <a:xfrm>
                          <a:off x="4608830" y="3694430"/>
                          <a:ext cx="1048385" cy="2781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52D8252">
                            <w:pPr>
                              <w:rPr>
                                <w:rFonts w:hint="default" w:eastAsia="宋体"/>
                                <w:lang w:val="en-US" w:eastAsia="zh-CN"/>
                              </w:rPr>
                            </w:pPr>
                            <w:r>
                              <w:rPr>
                                <w:rFonts w:hint="eastAsia" w:eastAsia="宋体"/>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4.95pt;margin-top:5.15pt;height:21.9pt;width:82.55pt;z-index:251660288;mso-width-relative:page;mso-height-relative:page;" fillcolor="#FFFFFF [3201]" filled="t" stroked="t" coordsize="21600,21600" o:gfxdata="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9aJLW1gAAAAkBAAAPAAAAAAAAAAEAIAAAACIAAABkcnMvZG93bnJldi54bWxQSwECFAAU&#10;AAAACACHTuJAqF4gPmUCAADDBAAADgAAAAAAAAABACAAAAAlAQAAZHJzL2Uyb0RvYy54bWxQSwUG&#10;AAAAAAYABgBZAQAA/AUAAAAA&#10;">
                <v:fill on="t" focussize="0,0"/>
                <v:stroke weight="0.5pt" color="#000000 [3204]" joinstyle="round"/>
                <v:imagedata o:title=""/>
                <o:lock v:ext="edit" aspectratio="f"/>
                <v:textbox>
                  <w:txbxContent>
                    <w:p w14:paraId="052D8252">
                      <w:pPr>
                        <w:rPr>
                          <w:rFonts w:hint="default" w:eastAsia="宋体"/>
                          <w:lang w:val="en-US" w:eastAsia="zh-CN"/>
                        </w:rPr>
                      </w:pPr>
                      <w:r>
                        <w:rPr>
                          <w:rFonts w:hint="eastAsia" w:eastAsia="宋体"/>
                          <w:lang w:val="en-US" w:eastAsia="zh-CN"/>
                        </w:rPr>
                        <w:t>单位：万元</w:t>
                      </w:r>
                    </w:p>
                  </w:txbxContent>
                </v:textbox>
              </v:shape>
            </w:pict>
          </mc:Fallback>
        </mc:AlternateContent>
      </w:r>
    </w:p>
    <w:p w14:paraId="12F6FB0A">
      <w:pPr>
        <w:pStyle w:val="18"/>
        <w:ind w:left="0" w:leftChars="0" w:firstLine="0" w:firstLineChars="0"/>
        <w:jc w:val="center"/>
        <w:rPr>
          <w:rFonts w:hint="default"/>
          <w:color w:val="auto"/>
          <w:highlight w:val="none"/>
          <w:u w:val="none"/>
        </w:rPr>
      </w:pPr>
      <w:r>
        <w:rPr>
          <w:rFonts w:eastAsia="仿宋_GB2312"/>
          <w:color w:val="auto"/>
          <w:sz w:val="32"/>
          <w:szCs w:val="32"/>
          <w:highlight w:val="none"/>
          <w:u w:val="none"/>
        </w:rPr>
        <w:t>图2.支出预算图</w:t>
      </w:r>
    </w:p>
    <w:p w14:paraId="3B73C75D">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p>
    <w:p w14:paraId="08CC8380">
      <w:pPr>
        <w:spacing w:line="600" w:lineRule="exact"/>
        <w:ind w:left="6" w:leftChars="0" w:firstLine="633" w:firstLineChars="198"/>
        <w:outlineLvl w:val="2"/>
        <w:rPr>
          <w:rFonts w:eastAsia="黑体" w:cs="黑体"/>
          <w:color w:val="auto"/>
          <w:sz w:val="32"/>
          <w:szCs w:val="36"/>
          <w:highlight w:val="none"/>
          <w:u w:val="none"/>
        </w:rPr>
      </w:pPr>
      <w:r>
        <w:rPr>
          <w:rFonts w:hint="eastAsia" w:eastAsia="黑体" w:cs="黑体"/>
          <w:color w:val="auto"/>
          <w:sz w:val="32"/>
          <w:szCs w:val="36"/>
          <w:highlight w:val="none"/>
          <w:u w:val="none"/>
        </w:rPr>
        <w:t>四、财政拨款收支预算总体情况说明</w:t>
      </w:r>
    </w:p>
    <w:p w14:paraId="17C898F6">
      <w:pPr>
        <w:pStyle w:val="8"/>
        <w:tabs>
          <w:tab w:val="left" w:pos="2671"/>
          <w:tab w:val="left" w:pos="5000"/>
          <w:tab w:val="left" w:pos="6190"/>
        </w:tabs>
        <w:spacing w:after="0" w:line="600" w:lineRule="exact"/>
        <w:ind w:left="19" w:leftChars="9" w:firstLine="617" w:firstLineChars="193"/>
        <w:rPr>
          <w:rFonts w:ascii="Times New Roman" w:hAnsi="Times New Roman" w:eastAsia="仿宋_GB2312" w:cs="仿宋"/>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年度财政拨款收、支总预算</w:t>
      </w:r>
      <w:r>
        <w:rPr>
          <w:rFonts w:hint="eastAsia" w:eastAsia="仿宋_GB2312"/>
          <w:color w:val="auto"/>
          <w:sz w:val="32"/>
          <w:szCs w:val="32"/>
          <w:highlight w:val="none"/>
          <w:u w:val="none"/>
          <w:lang w:val="en-US" w:eastAsia="zh-CN"/>
        </w:rPr>
        <w:t xml:space="preserve">       19264.72</w:t>
      </w:r>
      <w:r>
        <w:rPr>
          <w:rFonts w:eastAsia="仿宋_GB2312"/>
          <w:color w:val="auto"/>
          <w:sz w:val="32"/>
          <w:szCs w:val="32"/>
          <w:highlight w:val="none"/>
          <w:u w:val="none"/>
        </w:rPr>
        <w:t>万元。与上年相比，财政拨款收、支总计各增加</w:t>
      </w:r>
      <w:r>
        <w:rPr>
          <w:rFonts w:hint="eastAsia" w:eastAsia="仿宋_GB2312"/>
          <w:color w:val="auto"/>
          <w:sz w:val="32"/>
          <w:szCs w:val="32"/>
          <w:highlight w:val="none"/>
          <w:u w:val="none"/>
          <w:lang w:val="en-US" w:eastAsia="zh-CN"/>
        </w:rPr>
        <w:t>3579.26</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22.82</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hint="eastAsia" w:ascii="仿宋_GB2312" w:hAnsi="仿宋_GB2312" w:eastAsia="仿宋_GB2312"/>
          <w:color w:val="auto"/>
          <w:sz w:val="32"/>
          <w:szCs w:val="32"/>
          <w:highlight w:val="none"/>
          <w:u w:val="none"/>
          <w:lang w:val="en-US" w:eastAsia="zh-CN"/>
        </w:rPr>
        <w:t>.</w:t>
      </w:r>
      <w:r>
        <w:rPr>
          <w:rFonts w:eastAsia="仿宋_GB2312"/>
          <w:color w:val="auto"/>
          <w:sz w:val="32"/>
          <w:szCs w:val="32"/>
          <w:highlight w:val="none"/>
          <w:u w:val="none"/>
        </w:rPr>
        <w:t>主要原因是</w:t>
      </w:r>
      <w:r>
        <w:rPr>
          <w:rFonts w:hint="eastAsia" w:eastAsia="仿宋_GB2312"/>
          <w:color w:val="auto"/>
          <w:sz w:val="32"/>
          <w:szCs w:val="32"/>
          <w:highlight w:val="none"/>
          <w:u w:val="none"/>
          <w:lang w:val="en-US" w:eastAsia="zh-CN"/>
        </w:rPr>
        <w:t>2026年财政拨付我单位新批复自治区科技厅科技计划科研项目38项</w:t>
      </w:r>
      <w:r>
        <w:rPr>
          <w:rFonts w:eastAsia="仿宋_GB2312"/>
          <w:color w:val="auto"/>
          <w:sz w:val="32"/>
          <w:szCs w:val="32"/>
          <w:highlight w:val="none"/>
          <w:u w:val="none"/>
        </w:rPr>
        <w:t>。</w:t>
      </w:r>
    </w:p>
    <w:p w14:paraId="2BF42009">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五、一般公共预算支出预算情况说明</w:t>
      </w:r>
    </w:p>
    <w:p w14:paraId="3260CFA4">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一般公共预算财政拨款支出预算</w:t>
      </w:r>
      <w:r>
        <w:rPr>
          <w:rFonts w:hint="eastAsia" w:eastAsia="仿宋_GB2312"/>
          <w:color w:val="auto"/>
          <w:sz w:val="32"/>
          <w:szCs w:val="32"/>
          <w:highlight w:val="none"/>
          <w:u w:val="none"/>
          <w:lang w:val="en-US" w:eastAsia="zh-CN"/>
        </w:rPr>
        <w:t>19264.72</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3579.26</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22.82</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rPr>
        <w:t>具体情况如下：</w:t>
      </w:r>
    </w:p>
    <w:p w14:paraId="63ABA8A6">
      <w:pPr>
        <w:adjustRightInd w:val="0"/>
        <w:snapToGrid w:val="0"/>
        <w:spacing w:line="560" w:lineRule="exact"/>
        <w:ind w:firstLine="480" w:firstLineChars="15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（一）社会保障和就业类支出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14:paraId="0F23A239">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eastAsia="仿宋_GB2312"/>
          <w:color w:val="auto"/>
          <w:sz w:val="32"/>
          <w:szCs w:val="32"/>
          <w:u w:val="none"/>
        </w:rPr>
        <w:t>社会保障和就业类支出</w:t>
      </w:r>
      <w:r>
        <w:rPr>
          <w:rFonts w:hint="eastAsia" w:eastAsia="仿宋_GB2312"/>
          <w:color w:val="auto"/>
          <w:sz w:val="32"/>
          <w:szCs w:val="32"/>
          <w:u w:val="none"/>
          <w:lang w:eastAsia="zh-CN"/>
        </w:rPr>
        <w:t>（</w:t>
      </w:r>
      <w:r>
        <w:rPr>
          <w:rFonts w:hint="eastAsia" w:eastAsia="仿宋_GB2312"/>
          <w:color w:val="auto"/>
          <w:sz w:val="32"/>
          <w:szCs w:val="32"/>
          <w:u w:val="none"/>
          <w:lang w:val="en-US" w:eastAsia="zh-CN"/>
        </w:rPr>
        <w:t>类</w:t>
      </w:r>
      <w:r>
        <w:rPr>
          <w:rFonts w:hint="eastAsia" w:eastAsia="仿宋_GB2312"/>
          <w:color w:val="auto"/>
          <w:sz w:val="32"/>
          <w:szCs w:val="32"/>
          <w:u w:val="none"/>
          <w:lang w:eastAsia="zh-CN"/>
        </w:rPr>
        <w:t>）</w:t>
      </w:r>
      <w:r>
        <w:rPr>
          <w:rFonts w:hint="eastAsia" w:eastAsia="仿宋_GB2312"/>
          <w:color w:val="auto"/>
          <w:sz w:val="32"/>
          <w:szCs w:val="32"/>
          <w:u w:val="none"/>
        </w:rPr>
        <w:t>年初预算数为</w:t>
      </w:r>
      <w:r>
        <w:rPr>
          <w:rFonts w:hint="eastAsia" w:eastAsia="仿宋_GB2312"/>
          <w:color w:val="auto"/>
          <w:sz w:val="32"/>
          <w:szCs w:val="32"/>
          <w:u w:val="none"/>
          <w:lang w:val="en-US" w:eastAsia="zh-CN"/>
        </w:rPr>
        <w:t>1849.49</w:t>
      </w:r>
      <w:r>
        <w:rPr>
          <w:rFonts w:hint="eastAsia" w:ascii="仿宋_GB2312" w:eastAsia="仿宋_GB2312"/>
          <w:color w:val="auto"/>
          <w:sz w:val="32"/>
          <w:szCs w:val="32"/>
          <w:u w:val="none"/>
        </w:rPr>
        <w:t>万元，与上年相比增加</w:t>
      </w:r>
      <w:r>
        <w:rPr>
          <w:rFonts w:hint="eastAsia" w:ascii="仿宋_GB2312" w:eastAsia="仿宋_GB2312"/>
          <w:color w:val="auto"/>
          <w:sz w:val="32"/>
          <w:szCs w:val="32"/>
          <w:u w:val="none"/>
          <w:lang w:val="en-US" w:eastAsia="zh-CN"/>
        </w:rPr>
        <w:t>219.59</w:t>
      </w:r>
      <w:r>
        <w:rPr>
          <w:rFonts w:hint="eastAsia" w:ascii="仿宋_GB2312" w:eastAsia="仿宋_GB2312"/>
          <w:color w:val="auto"/>
          <w:sz w:val="32"/>
          <w:szCs w:val="32"/>
          <w:u w:val="none"/>
        </w:rPr>
        <w:t>万元，增长率为</w:t>
      </w:r>
      <w:r>
        <w:rPr>
          <w:rFonts w:hint="eastAsia" w:ascii="仿宋_GB2312" w:eastAsia="仿宋_GB2312"/>
          <w:color w:val="auto"/>
          <w:sz w:val="32"/>
          <w:szCs w:val="32"/>
          <w:u w:val="none"/>
          <w:lang w:val="en-US" w:eastAsia="zh-CN"/>
        </w:rPr>
        <w:t>13.54</w:t>
      </w:r>
      <w:r>
        <w:rPr>
          <w:rFonts w:hint="eastAsia" w:ascii="仿宋_GB2312" w:eastAsia="仿宋_GB2312"/>
          <w:color w:val="auto"/>
          <w:sz w:val="32"/>
          <w:szCs w:val="32"/>
          <w:u w:val="none"/>
        </w:rPr>
        <w:t>%，其中：</w:t>
      </w:r>
    </w:p>
    <w:p w14:paraId="7F723E38">
      <w:pPr>
        <w:numPr>
          <w:ilvl w:val="0"/>
          <w:numId w:val="0"/>
        </w:numPr>
        <w:adjustRightInd w:val="0"/>
        <w:snapToGrid w:val="0"/>
        <w:spacing w:line="560" w:lineRule="exact"/>
        <w:ind w:firstLine="640" w:firstLineChars="200"/>
        <w:rPr>
          <w:rFonts w:ascii="仿宋_GB2312" w:eastAsia="仿宋_GB2312"/>
          <w:color w:val="auto"/>
          <w:sz w:val="32"/>
          <w:szCs w:val="32"/>
          <w:u w:val="none"/>
        </w:rPr>
      </w:pPr>
      <w:r>
        <w:rPr>
          <w:rFonts w:hint="eastAsia" w:ascii="仿宋_GB2312" w:eastAsia="仿宋_GB2312"/>
          <w:color w:val="auto"/>
          <w:sz w:val="32"/>
          <w:szCs w:val="32"/>
          <w:u w:val="none"/>
          <w:lang w:val="en-US" w:eastAsia="zh-CN"/>
        </w:rPr>
        <w:t>1.</w:t>
      </w:r>
      <w:r>
        <w:rPr>
          <w:rFonts w:hint="eastAsia" w:ascii="仿宋_GB2312" w:eastAsia="仿宋_GB2312"/>
          <w:color w:val="auto"/>
          <w:sz w:val="32"/>
          <w:szCs w:val="32"/>
          <w:u w:val="none"/>
        </w:rPr>
        <w:t>人力资源和社会保障管理事务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中引进人才费用</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275.28</w:t>
      </w:r>
      <w:r>
        <w:rPr>
          <w:rFonts w:hint="eastAsia" w:ascii="仿宋_GB2312" w:eastAsia="仿宋_GB2312"/>
          <w:color w:val="auto"/>
          <w:sz w:val="32"/>
          <w:szCs w:val="32"/>
          <w:u w:val="none"/>
        </w:rPr>
        <w:t>万元，比上年</w:t>
      </w:r>
      <w:r>
        <w:rPr>
          <w:rFonts w:hint="eastAsia" w:ascii="仿宋_GB2312" w:eastAsia="仿宋_GB2312"/>
          <w:color w:val="auto"/>
          <w:sz w:val="32"/>
          <w:szCs w:val="32"/>
          <w:u w:val="none"/>
          <w:lang w:val="en-US" w:eastAsia="zh-CN"/>
        </w:rPr>
        <w:t>增加158.92</w:t>
      </w:r>
      <w:r>
        <w:rPr>
          <w:rFonts w:hint="eastAsia" w:ascii="仿宋_GB2312" w:eastAsia="仿宋_GB2312"/>
          <w:color w:val="auto"/>
          <w:sz w:val="32"/>
          <w:szCs w:val="32"/>
          <w:u w:val="none"/>
        </w:rPr>
        <w:t>万元。</w:t>
      </w:r>
    </w:p>
    <w:p w14:paraId="64D3CE8F">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2.行政事业单位养老支出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中事业单位离退休</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1566.21</w:t>
      </w:r>
      <w:r>
        <w:rPr>
          <w:rFonts w:hint="eastAsia" w:ascii="仿宋_GB2312" w:eastAsia="仿宋_GB2312"/>
          <w:color w:val="auto"/>
          <w:sz w:val="32"/>
          <w:szCs w:val="32"/>
          <w:u w:val="none"/>
        </w:rPr>
        <w:t>万元，与上年相比增加</w:t>
      </w:r>
      <w:r>
        <w:rPr>
          <w:rFonts w:hint="eastAsia" w:ascii="仿宋_GB2312" w:eastAsia="仿宋_GB2312"/>
          <w:color w:val="auto"/>
          <w:sz w:val="32"/>
          <w:szCs w:val="32"/>
          <w:u w:val="none"/>
          <w:lang w:val="en-US" w:eastAsia="zh-CN"/>
        </w:rPr>
        <w:t>60.67</w:t>
      </w:r>
      <w:r>
        <w:rPr>
          <w:rFonts w:hint="eastAsia" w:ascii="仿宋_GB2312" w:eastAsia="仿宋_GB2312"/>
          <w:color w:val="auto"/>
          <w:sz w:val="32"/>
          <w:szCs w:val="32"/>
          <w:u w:val="none"/>
        </w:rPr>
        <w:t>万元，增长率为</w:t>
      </w:r>
      <w:r>
        <w:rPr>
          <w:rFonts w:hint="eastAsia" w:ascii="仿宋_GB2312" w:eastAsia="仿宋_GB2312"/>
          <w:color w:val="auto"/>
          <w:sz w:val="32"/>
          <w:szCs w:val="32"/>
          <w:u w:val="none"/>
          <w:lang w:val="en-US" w:eastAsia="zh-CN"/>
        </w:rPr>
        <w:t>4.03</w:t>
      </w:r>
      <w:r>
        <w:rPr>
          <w:rFonts w:hint="eastAsia" w:ascii="仿宋_GB2312" w:eastAsia="仿宋_GB2312"/>
          <w:color w:val="auto"/>
          <w:sz w:val="32"/>
          <w:szCs w:val="32"/>
          <w:u w:val="none"/>
        </w:rPr>
        <w:t>%，财政根据医院离退休人员测算供给拨款。</w:t>
      </w:r>
    </w:p>
    <w:p w14:paraId="10D6309F">
      <w:pPr>
        <w:adjustRightInd w:val="0"/>
        <w:snapToGrid w:val="0"/>
        <w:spacing w:line="560" w:lineRule="exact"/>
        <w:ind w:left="64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（二）卫生健康支出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14:paraId="36B1A195">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卫生健康支出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类</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年初预算数为</w:t>
      </w:r>
      <w:r>
        <w:rPr>
          <w:rFonts w:hint="eastAsia" w:ascii="仿宋_GB2312" w:eastAsia="仿宋_GB2312"/>
          <w:color w:val="auto"/>
          <w:sz w:val="32"/>
          <w:szCs w:val="32"/>
          <w:u w:val="none"/>
          <w:lang w:val="en-US" w:eastAsia="zh-CN"/>
        </w:rPr>
        <w:t>15082.51</w:t>
      </w:r>
      <w:r>
        <w:rPr>
          <w:rFonts w:hint="eastAsia" w:ascii="仿宋_GB2312" w:eastAsia="仿宋_GB2312"/>
          <w:color w:val="auto"/>
          <w:sz w:val="32"/>
          <w:szCs w:val="32"/>
          <w:u w:val="none"/>
        </w:rPr>
        <w:t>万元，</w:t>
      </w:r>
      <w:r>
        <w:rPr>
          <w:rFonts w:hint="eastAsia" w:eastAsia="仿宋_GB2312"/>
          <w:color w:val="auto"/>
          <w:sz w:val="32"/>
          <w:szCs w:val="32"/>
          <w:u w:val="none"/>
        </w:rPr>
        <w:t>与上年相比增加</w:t>
      </w:r>
      <w:r>
        <w:rPr>
          <w:rFonts w:hint="eastAsia" w:eastAsia="仿宋_GB2312"/>
          <w:color w:val="auto"/>
          <w:sz w:val="32"/>
          <w:szCs w:val="32"/>
          <w:u w:val="none"/>
          <w:lang w:val="en-US" w:eastAsia="zh-CN"/>
        </w:rPr>
        <w:t>2176.54</w:t>
      </w:r>
      <w:r>
        <w:rPr>
          <w:rFonts w:hint="eastAsia" w:eastAsia="仿宋_GB2312"/>
          <w:color w:val="auto"/>
          <w:sz w:val="32"/>
          <w:szCs w:val="32"/>
          <w:u w:val="none"/>
        </w:rPr>
        <w:t>万元</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增加率为</w:t>
      </w:r>
      <w:r>
        <w:rPr>
          <w:rFonts w:hint="eastAsia" w:ascii="仿宋_GB2312" w:eastAsia="仿宋_GB2312"/>
          <w:color w:val="auto"/>
          <w:sz w:val="32"/>
          <w:szCs w:val="32"/>
          <w:u w:val="none"/>
          <w:lang w:val="en-US" w:eastAsia="zh-CN"/>
        </w:rPr>
        <w:t>16.86</w:t>
      </w:r>
      <w:r>
        <w:rPr>
          <w:rFonts w:hint="eastAsia" w:ascii="仿宋_GB2312" w:eastAsia="仿宋_GB2312"/>
          <w:color w:val="auto"/>
          <w:sz w:val="32"/>
          <w:szCs w:val="32"/>
          <w:u w:val="none"/>
        </w:rPr>
        <w:t>%，其中：</w:t>
      </w:r>
    </w:p>
    <w:p w14:paraId="00F6E28B">
      <w:pPr>
        <w:numPr>
          <w:ilvl w:val="0"/>
          <w:numId w:val="0"/>
        </w:num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1.</w:t>
      </w:r>
      <w:r>
        <w:rPr>
          <w:rFonts w:hint="eastAsia" w:ascii="仿宋_GB2312" w:eastAsia="仿宋_GB2312"/>
          <w:color w:val="auto"/>
          <w:sz w:val="32"/>
          <w:szCs w:val="32"/>
          <w:u w:val="none"/>
        </w:rPr>
        <w:t>公立医院</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中综合医院</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8781.92</w:t>
      </w:r>
      <w:r>
        <w:rPr>
          <w:rFonts w:hint="eastAsia" w:ascii="仿宋_GB2312" w:eastAsia="仿宋_GB2312"/>
          <w:color w:val="auto"/>
          <w:sz w:val="32"/>
          <w:szCs w:val="32"/>
          <w:u w:val="none"/>
        </w:rPr>
        <w:t>万元，与上年相比</w:t>
      </w:r>
      <w:r>
        <w:rPr>
          <w:rFonts w:hint="eastAsia" w:ascii="仿宋_GB2312" w:eastAsia="仿宋_GB2312"/>
          <w:color w:val="auto"/>
          <w:sz w:val="32"/>
          <w:szCs w:val="32"/>
          <w:u w:val="none"/>
          <w:lang w:val="en-US" w:eastAsia="zh-CN"/>
        </w:rPr>
        <w:t>减少50.34</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减少率为0.57%；</w:t>
      </w:r>
      <w:r>
        <w:rPr>
          <w:rFonts w:hint="eastAsia" w:ascii="仿宋_GB2312" w:eastAsia="仿宋_GB2312"/>
          <w:color w:val="auto"/>
          <w:sz w:val="32"/>
          <w:szCs w:val="32"/>
          <w:u w:val="none"/>
        </w:rPr>
        <w:t>其他公立医院支出年初安排</w:t>
      </w:r>
      <w:r>
        <w:rPr>
          <w:rFonts w:hint="eastAsia" w:ascii="仿宋_GB2312" w:eastAsia="仿宋_GB2312"/>
          <w:color w:val="auto"/>
          <w:sz w:val="32"/>
          <w:szCs w:val="32"/>
          <w:u w:val="none"/>
          <w:lang w:val="en-US" w:eastAsia="zh-CN"/>
        </w:rPr>
        <w:t>4182.8</w:t>
      </w:r>
      <w:r>
        <w:rPr>
          <w:rFonts w:hint="eastAsia" w:ascii="仿宋_GB2312" w:eastAsia="仿宋_GB2312"/>
          <w:color w:val="auto"/>
          <w:sz w:val="32"/>
          <w:szCs w:val="32"/>
          <w:u w:val="none"/>
        </w:rPr>
        <w:t>万元，与去年相比</w:t>
      </w:r>
      <w:r>
        <w:rPr>
          <w:rFonts w:hint="eastAsia" w:ascii="仿宋_GB2312" w:eastAsia="仿宋_GB2312"/>
          <w:color w:val="auto"/>
          <w:sz w:val="32"/>
          <w:szCs w:val="32"/>
          <w:u w:val="none"/>
          <w:lang w:val="en-US" w:eastAsia="zh-CN"/>
        </w:rPr>
        <w:t>增加2362.29</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增加</w:t>
      </w:r>
      <w:r>
        <w:rPr>
          <w:rFonts w:hint="eastAsia" w:ascii="仿宋_GB2312" w:eastAsia="仿宋_GB2312"/>
          <w:color w:val="auto"/>
          <w:sz w:val="32"/>
          <w:szCs w:val="32"/>
          <w:u w:val="none"/>
        </w:rPr>
        <w:t>率为</w:t>
      </w:r>
      <w:r>
        <w:rPr>
          <w:rFonts w:hint="eastAsia" w:ascii="仿宋_GB2312" w:eastAsia="仿宋_GB2312"/>
          <w:color w:val="auto"/>
          <w:sz w:val="32"/>
          <w:szCs w:val="32"/>
          <w:u w:val="none"/>
          <w:lang w:val="en-US" w:eastAsia="zh-CN"/>
        </w:rPr>
        <w:t>129.76</w:t>
      </w:r>
      <w:r>
        <w:rPr>
          <w:rFonts w:hint="eastAsia" w:ascii="仿宋_GB2312" w:eastAsia="仿宋_GB2312"/>
          <w:color w:val="auto"/>
          <w:sz w:val="32"/>
          <w:szCs w:val="32"/>
          <w:u w:val="none"/>
        </w:rPr>
        <w:t>%</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主要原因是</w:t>
      </w:r>
    </w:p>
    <w:p w14:paraId="0D43CFC3">
      <w:pPr>
        <w:numPr>
          <w:ilvl w:val="0"/>
          <w:numId w:val="0"/>
        </w:num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rPr>
        <w:t>2.公共卫生</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中基本公共卫生服务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223.17</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与去年相比增加42.17万元，</w:t>
      </w:r>
      <w:r>
        <w:rPr>
          <w:rFonts w:hint="eastAsia" w:ascii="仿宋_GB2312" w:eastAsia="仿宋_GB2312"/>
          <w:color w:val="auto"/>
          <w:sz w:val="32"/>
          <w:szCs w:val="32"/>
          <w:u w:val="none"/>
        </w:rPr>
        <w:t>重大公共卫生服务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w:t>
      </w:r>
      <w:r>
        <w:rPr>
          <w:rFonts w:hint="eastAsia" w:ascii="仿宋_GB2312" w:eastAsia="仿宋_GB2312"/>
          <w:color w:val="auto"/>
          <w:sz w:val="32"/>
          <w:szCs w:val="32"/>
          <w:u w:val="none"/>
          <w:lang w:val="en-US" w:eastAsia="zh-CN"/>
        </w:rPr>
        <w:t>487.05</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与去年相比减少134.94万元，减少率为21.7|%。</w:t>
      </w:r>
    </w:p>
    <w:p w14:paraId="3632FCB6">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3.卫生健康管理事务</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）其他卫生健康管理事务支出（</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w:t>
      </w:r>
      <w:r>
        <w:rPr>
          <w:rFonts w:hint="eastAsia" w:ascii="仿宋_GB2312" w:eastAsia="仿宋_GB2312"/>
          <w:color w:val="auto"/>
          <w:sz w:val="32"/>
          <w:szCs w:val="32"/>
          <w:u w:val="none"/>
          <w:lang w:val="en-US" w:eastAsia="zh-CN"/>
        </w:rPr>
        <w:t>0.19</w:t>
      </w:r>
      <w:r>
        <w:rPr>
          <w:rFonts w:hint="eastAsia" w:ascii="仿宋_GB2312" w:eastAsia="仿宋_GB2312"/>
          <w:color w:val="auto"/>
          <w:sz w:val="32"/>
          <w:szCs w:val="32"/>
          <w:u w:val="none"/>
        </w:rPr>
        <w:t>万元。</w:t>
      </w:r>
    </w:p>
    <w:p w14:paraId="7E7857B5">
      <w:p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rPr>
        <w:t>4.其他卫生健康支出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1407.39</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与去年相比增加78.39万元。</w:t>
      </w:r>
    </w:p>
    <w:p w14:paraId="03584712">
      <w:pPr>
        <w:adjustRightInd w:val="0"/>
        <w:snapToGrid w:val="0"/>
        <w:spacing w:line="560" w:lineRule="exact"/>
        <w:ind w:left="64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（三）科学技术支出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14:paraId="154787D8">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科学技术支出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类</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年初安排预算</w:t>
      </w:r>
      <w:r>
        <w:rPr>
          <w:rFonts w:hint="eastAsia" w:ascii="仿宋_GB2312" w:eastAsia="仿宋_GB2312"/>
          <w:color w:val="auto"/>
          <w:sz w:val="32"/>
          <w:szCs w:val="32"/>
          <w:u w:val="none"/>
          <w:lang w:val="en-US" w:eastAsia="zh-CN"/>
        </w:rPr>
        <w:t>2340.72</w:t>
      </w:r>
      <w:r>
        <w:rPr>
          <w:rFonts w:hint="eastAsia" w:ascii="仿宋_GB2312" w:eastAsia="仿宋_GB2312"/>
          <w:color w:val="auto"/>
          <w:sz w:val="32"/>
          <w:szCs w:val="32"/>
          <w:u w:val="none"/>
        </w:rPr>
        <w:t>万元，其中：</w:t>
      </w:r>
    </w:p>
    <w:p w14:paraId="52166C6E">
      <w:p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rPr>
        <w:t>1.应用研究</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中其他应用研究支出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273.02</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与去年相比减少81.11万元，减少率为22.9%。</w:t>
      </w:r>
    </w:p>
    <w:p w14:paraId="2A0EAF0C">
      <w:p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rPr>
        <w:t>2.技术研究与开发</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中科技成果转化与扩散</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1088.97万元，与去年相比增加1002.85万元，增加率为1164.48%</w:t>
      </w:r>
      <w:r>
        <w:rPr>
          <w:rFonts w:hint="eastAsia" w:ascii="仿宋_GB2312" w:eastAsia="仿宋_GB2312"/>
          <w:color w:val="auto"/>
          <w:sz w:val="32"/>
          <w:szCs w:val="32"/>
          <w:u w:val="none"/>
        </w:rPr>
        <w:t>；其他技术研究与开发支出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年初安排14.13万元，与去年相比增加14.13万元。</w:t>
      </w:r>
    </w:p>
    <w:p w14:paraId="5EABD94E">
      <w:pPr>
        <w:pStyle w:val="8"/>
        <w:tabs>
          <w:tab w:val="left" w:pos="2671"/>
          <w:tab w:val="left" w:pos="5000"/>
          <w:tab w:val="left" w:pos="6190"/>
        </w:tabs>
        <w:spacing w:after="0" w:line="60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3.其他科学技术支出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中</w:t>
      </w:r>
      <w:r>
        <w:rPr>
          <w:rFonts w:hint="eastAsia" w:ascii="仿宋_GB2312" w:eastAsia="仿宋_GB2312"/>
          <w:color w:val="auto"/>
          <w:sz w:val="32"/>
          <w:szCs w:val="32"/>
          <w:u w:val="none"/>
        </w:rPr>
        <w:t>其他科学技术支出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346.31万元，与去年相比增加194.61万元，增加率为128.29%。</w:t>
      </w:r>
    </w:p>
    <w:p w14:paraId="5A2849D5">
      <w:pPr>
        <w:pStyle w:val="8"/>
        <w:tabs>
          <w:tab w:val="left" w:pos="2671"/>
          <w:tab w:val="left" w:pos="5000"/>
          <w:tab w:val="left" w:pos="6190"/>
        </w:tabs>
        <w:spacing w:after="0" w:line="60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4.科技条件与服务（款）科技条件专项（项）年初预算38.29万元，与去年相比减少27.34万元，减少率为41.66%。</w:t>
      </w:r>
    </w:p>
    <w:p w14:paraId="29F0DB55">
      <w:pPr>
        <w:pStyle w:val="8"/>
        <w:tabs>
          <w:tab w:val="left" w:pos="2671"/>
          <w:tab w:val="left" w:pos="5000"/>
          <w:tab w:val="left" w:pos="6190"/>
        </w:tabs>
        <w:spacing w:after="0" w:line="600" w:lineRule="exact"/>
        <w:ind w:firstLine="640" w:firstLineChars="200"/>
        <w:rPr>
          <w:rFonts w:hint="eastAsia"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5.科技重大项目（款）科技重大专项（项）年初预算500万元，与去年保持一致。</w:t>
      </w:r>
    </w:p>
    <w:p w14:paraId="55DCD5EB">
      <w:pPr>
        <w:pStyle w:val="8"/>
        <w:tabs>
          <w:tab w:val="left" w:pos="2671"/>
          <w:tab w:val="left" w:pos="5000"/>
          <w:tab w:val="left" w:pos="6190"/>
        </w:tabs>
        <w:spacing w:after="0" w:line="60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6.基础研究（款）自然科学基金（项）年初预算80万元，，与去年相比增加80万元。</w:t>
      </w:r>
    </w:p>
    <w:p w14:paraId="08124C78">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六、一般公共预算基本支出预算情况说明</w:t>
      </w:r>
    </w:p>
    <w:p w14:paraId="430FBEE0">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hint="eastAsia" w:ascii="Times New Roman" w:hAnsi="Times New Roman" w:eastAsia="仿宋_GB2312" w:cs="仿宋"/>
          <w:color w:val="auto"/>
          <w:sz w:val="32"/>
          <w:szCs w:val="32"/>
          <w:highlight w:val="none"/>
          <w:u w:val="none"/>
        </w:rPr>
        <w:t>年度一般公共预算财政拨款基本支出预算</w:t>
      </w:r>
      <w:r>
        <w:rPr>
          <w:rFonts w:hint="eastAsia" w:eastAsia="仿宋_GB2312" w:cs="仿宋"/>
          <w:color w:val="auto"/>
          <w:sz w:val="32"/>
          <w:szCs w:val="32"/>
          <w:highlight w:val="none"/>
          <w:u w:val="none"/>
          <w:lang w:val="en-US" w:eastAsia="zh-CN"/>
        </w:rPr>
        <w:t>10348.13</w:t>
      </w:r>
      <w:r>
        <w:rPr>
          <w:rFonts w:hint="eastAsia" w:ascii="Times New Roman" w:hAnsi="Times New Roman" w:eastAsia="仿宋_GB2312" w:cs="仿宋"/>
          <w:color w:val="auto"/>
          <w:sz w:val="32"/>
          <w:szCs w:val="32"/>
          <w:highlight w:val="none"/>
          <w:u w:val="none"/>
        </w:rPr>
        <w:t>万元，其中：</w:t>
      </w:r>
    </w:p>
    <w:p w14:paraId="7BBF2AA1">
      <w:pPr>
        <w:pStyle w:val="8"/>
        <w:numPr>
          <w:ilvl w:val="0"/>
          <w:numId w:val="3"/>
        </w:numPr>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r>
        <w:rPr>
          <w:rFonts w:hint="eastAsia" w:ascii="Times New Roman" w:hAnsi="Times New Roman" w:eastAsia="仿宋_GB2312" w:cs="仿宋"/>
          <w:b w:val="0"/>
          <w:bCs w:val="0"/>
          <w:color w:val="auto"/>
          <w:sz w:val="32"/>
          <w:szCs w:val="32"/>
          <w:highlight w:val="none"/>
          <w:u w:val="none"/>
        </w:rPr>
        <w:t>人员经费</w:t>
      </w:r>
      <w:r>
        <w:rPr>
          <w:rFonts w:hint="eastAsia" w:eastAsia="仿宋_GB2312" w:cs="仿宋"/>
          <w:b w:val="0"/>
          <w:bCs w:val="0"/>
          <w:color w:val="auto"/>
          <w:sz w:val="32"/>
          <w:szCs w:val="32"/>
          <w:highlight w:val="none"/>
          <w:u w:val="none"/>
          <w:lang w:val="en-US" w:eastAsia="zh-CN"/>
        </w:rPr>
        <w:t>10348.13</w:t>
      </w:r>
      <w:r>
        <w:rPr>
          <w:rFonts w:hint="eastAsia" w:ascii="Times New Roman" w:hAnsi="Times New Roman" w:eastAsia="仿宋_GB2312" w:cs="仿宋"/>
          <w:b w:val="0"/>
          <w:bCs w:val="0"/>
          <w:color w:val="auto"/>
          <w:sz w:val="32"/>
          <w:szCs w:val="32"/>
          <w:highlight w:val="none"/>
          <w:u w:val="none"/>
        </w:rPr>
        <w:t>万元。</w:t>
      </w:r>
      <w:r>
        <w:rPr>
          <w:rFonts w:hint="eastAsia" w:eastAsia="仿宋_GB2312" w:cs="仿宋"/>
          <w:color w:val="auto"/>
          <w:sz w:val="32"/>
          <w:szCs w:val="32"/>
          <w:highlight w:val="none"/>
          <w:u w:val="none"/>
          <w:lang w:val="en-US" w:eastAsia="zh-CN"/>
        </w:rPr>
        <w:t>与上年相比增加10.33万元，增长率0.1%，主要原因为定项补助与上年相比略有减少，基本维持不变。</w:t>
      </w:r>
    </w:p>
    <w:p w14:paraId="27FACA0F">
      <w:pPr>
        <w:pStyle w:val="8"/>
        <w:numPr>
          <w:ilvl w:val="0"/>
          <w:numId w:val="3"/>
        </w:numPr>
        <w:tabs>
          <w:tab w:val="left" w:pos="2671"/>
          <w:tab w:val="left" w:pos="5000"/>
          <w:tab w:val="left" w:pos="6190"/>
        </w:tabs>
        <w:spacing w:after="0" w:line="600" w:lineRule="exact"/>
        <w:ind w:left="0" w:leftChars="0" w:firstLine="640" w:firstLineChars="200"/>
        <w:rPr>
          <w:rFonts w:hint="eastAsia" w:ascii="Times New Roman" w:hAnsi="Times New Roman" w:eastAsia="仿宋_GB2312" w:cs="仿宋"/>
          <w:b w:val="0"/>
          <w:bCs w:val="0"/>
          <w:color w:val="auto"/>
          <w:sz w:val="32"/>
          <w:szCs w:val="32"/>
          <w:highlight w:val="none"/>
          <w:u w:val="none"/>
          <w:lang w:eastAsia="zh-CN"/>
        </w:rPr>
      </w:pPr>
      <w:r>
        <w:rPr>
          <w:rFonts w:hint="eastAsia" w:ascii="Times New Roman" w:hAnsi="Times New Roman" w:eastAsia="仿宋_GB2312" w:cs="仿宋"/>
          <w:b w:val="0"/>
          <w:bCs w:val="0"/>
          <w:color w:val="auto"/>
          <w:sz w:val="32"/>
          <w:szCs w:val="32"/>
          <w:highlight w:val="none"/>
          <w:u w:val="none"/>
        </w:rPr>
        <w:t>公用经费</w:t>
      </w:r>
      <w:r>
        <w:rPr>
          <w:rFonts w:hint="eastAsia" w:eastAsia="仿宋_GB2312" w:cs="仿宋"/>
          <w:b w:val="0"/>
          <w:bCs w:val="0"/>
          <w:color w:val="auto"/>
          <w:sz w:val="32"/>
          <w:szCs w:val="32"/>
          <w:highlight w:val="none"/>
          <w:u w:val="none"/>
          <w:lang w:val="en-US" w:eastAsia="zh-CN"/>
        </w:rPr>
        <w:t>0</w:t>
      </w:r>
      <w:r>
        <w:rPr>
          <w:rFonts w:hint="eastAsia" w:ascii="Times New Roman" w:hAnsi="Times New Roman" w:eastAsia="仿宋_GB2312" w:cs="仿宋"/>
          <w:b w:val="0"/>
          <w:bCs w:val="0"/>
          <w:color w:val="auto"/>
          <w:sz w:val="32"/>
          <w:szCs w:val="32"/>
          <w:highlight w:val="none"/>
          <w:u w:val="none"/>
        </w:rPr>
        <w:t>万元。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r>
        <w:rPr>
          <w:rFonts w:hint="eastAsia" w:eastAsia="仿宋_GB2312" w:cs="仿宋"/>
          <w:b w:val="0"/>
          <w:bCs w:val="0"/>
          <w:color w:val="auto"/>
          <w:sz w:val="32"/>
          <w:szCs w:val="32"/>
          <w:highlight w:val="none"/>
          <w:u w:val="none"/>
          <w:lang w:val="en-US" w:eastAsia="zh-CN"/>
        </w:rPr>
        <w:t>我单位公用经费使用自有资金。</w:t>
      </w:r>
    </w:p>
    <w:p w14:paraId="360E99C6">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七、一般公共预算“三公”经费支出预算情况说明</w:t>
      </w:r>
    </w:p>
    <w:p w14:paraId="26185692">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年度一般公共预算拨款安排的“三公”经费预算支出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万元，其中因公出国（境）费支出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；公务用车购置及运行维护费支出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；公务接待费支出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。具体情况如下：</w:t>
      </w:r>
    </w:p>
    <w:p w14:paraId="305ACB53">
      <w:pPr>
        <w:spacing w:line="600" w:lineRule="exact"/>
        <w:ind w:left="29" w:right="96" w:firstLine="650"/>
        <w:rPr>
          <w:rFonts w:eastAsia="仿宋_GB2312"/>
          <w:color w:val="auto"/>
          <w:sz w:val="32"/>
          <w:szCs w:val="32"/>
          <w:highlight w:val="none"/>
          <w:u w:val="none"/>
        </w:rPr>
      </w:pPr>
      <w:r>
        <w:rPr>
          <w:rFonts w:eastAsia="仿宋_GB2312"/>
          <w:color w:val="auto"/>
          <w:sz w:val="32"/>
          <w:szCs w:val="32"/>
          <w:highlight w:val="none"/>
          <w:u w:val="none"/>
        </w:rPr>
        <w:t>一般公共预算拨款安排的“三公”经费预算支出</w:t>
      </w:r>
      <w:r>
        <w:rPr>
          <w:rFonts w:hint="eastAsia" w:eastAsia="仿宋_GB2312"/>
          <w:color w:val="auto"/>
          <w:sz w:val="32"/>
          <w:szCs w:val="32"/>
          <w:highlight w:val="none"/>
          <w:u w:val="none"/>
          <w:lang w:val="en-US" w:eastAsia="zh-CN"/>
        </w:rPr>
        <w:t>0</w:t>
      </w:r>
      <w:r>
        <w:rPr>
          <w:rFonts w:eastAsia="仿宋_GB2312"/>
          <w:color w:val="auto"/>
          <w:spacing w:val="-4"/>
          <w:sz w:val="32"/>
          <w:szCs w:val="32"/>
          <w:highlight w:val="none"/>
          <w:u w:val="none"/>
        </w:rPr>
        <w:t>万元，比上年预</w:t>
      </w:r>
      <w:r>
        <w:rPr>
          <w:rFonts w:eastAsia="仿宋_GB2312"/>
          <w:color w:val="auto"/>
          <w:spacing w:val="-6"/>
          <w:sz w:val="32"/>
          <w:szCs w:val="32"/>
          <w:highlight w:val="none"/>
          <w:u w:val="none"/>
        </w:rPr>
        <w:t>算增加</w:t>
      </w:r>
      <w:r>
        <w:rPr>
          <w:rFonts w:hint="eastAsia" w:eastAsia="仿宋_GB2312"/>
          <w:color w:val="auto"/>
          <w:sz w:val="32"/>
          <w:szCs w:val="32"/>
          <w:highlight w:val="none"/>
          <w:u w:val="none"/>
          <w:lang w:val="en-US" w:eastAsia="zh-CN"/>
        </w:rPr>
        <w:t>0</w:t>
      </w:r>
      <w:r>
        <w:rPr>
          <w:rFonts w:eastAsia="仿宋_GB2312"/>
          <w:color w:val="auto"/>
          <w:spacing w:val="-6"/>
          <w:sz w:val="32"/>
          <w:szCs w:val="32"/>
          <w:highlight w:val="none"/>
          <w:u w:val="none"/>
        </w:rPr>
        <w:t>万元，</w:t>
      </w:r>
      <w:r>
        <w:rPr>
          <w:rFonts w:eastAsia="仿宋_GB2312"/>
          <w:color w:val="auto"/>
          <w:sz w:val="32"/>
          <w:szCs w:val="32"/>
          <w:highlight w:val="none"/>
          <w:u w:val="none"/>
        </w:rPr>
        <w:t>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pacing w:val="-6"/>
          <w:sz w:val="32"/>
          <w:szCs w:val="32"/>
          <w:highlight w:val="none"/>
          <w:u w:val="none"/>
        </w:rPr>
        <w:t>；</w:t>
      </w:r>
      <w:r>
        <w:rPr>
          <w:rFonts w:eastAsia="仿宋_GB2312"/>
          <w:color w:val="auto"/>
          <w:spacing w:val="-4"/>
          <w:sz w:val="32"/>
          <w:szCs w:val="32"/>
          <w:highlight w:val="none"/>
          <w:u w:val="none"/>
        </w:rPr>
        <w:t>其中：</w:t>
      </w:r>
    </w:p>
    <w:p w14:paraId="534DA590">
      <w:pPr>
        <w:pStyle w:val="8"/>
        <w:spacing w:after="0" w:line="600" w:lineRule="exact"/>
        <w:ind w:left="17" w:leftChars="8" w:firstLine="640" w:firstLineChars="200"/>
        <w:rPr>
          <w:rFonts w:eastAsia="仿宋_GB2312"/>
          <w:color w:val="auto"/>
          <w:sz w:val="32"/>
          <w:szCs w:val="32"/>
          <w:highlight w:val="none"/>
          <w:u w:val="none"/>
        </w:rPr>
      </w:pPr>
      <w:r>
        <w:rPr>
          <w:rFonts w:eastAsia="仿宋_GB2312"/>
          <w:color w:val="auto"/>
          <w:sz w:val="32"/>
          <w:szCs w:val="32"/>
          <w:highlight w:val="none"/>
          <w:u w:val="none"/>
        </w:rPr>
        <w:t>1．因公出国（境）费预算支出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因公出国（境）费预算支出。</w:t>
      </w:r>
    </w:p>
    <w:p w14:paraId="73821C5D">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2．公务用车购置及运行维护费预算支出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w:t>
      </w:r>
    </w:p>
    <w:p w14:paraId="0B864E15">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（1）公务用车购置预算支出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公务用车购置预算支出。</w:t>
      </w:r>
    </w:p>
    <w:p w14:paraId="0B401451">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（2）公务用车运行维护费预算支出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公务用车运行维护费预算支出。</w:t>
      </w:r>
    </w:p>
    <w:p w14:paraId="5DC0BE89">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3．公务接待费预算支出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w:t>
      </w:r>
      <w:bookmarkStart w:id="4" w:name="_GoBack"/>
      <w:bookmarkEnd w:id="4"/>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w:t>
      </w:r>
      <w:r>
        <w:rPr>
          <w:rFonts w:eastAsia="仿宋_GB2312"/>
          <w:color w:val="auto"/>
          <w:sz w:val="32"/>
          <w:szCs w:val="32"/>
          <w:highlight w:val="none"/>
          <w:u w:val="none"/>
        </w:rPr>
        <w:t>公务接待费预算支出。</w:t>
      </w:r>
    </w:p>
    <w:p w14:paraId="16A32744">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八、政府性基金预算支出预算情况说明</w:t>
      </w:r>
    </w:p>
    <w:p w14:paraId="784134E9">
      <w:pPr>
        <w:pStyle w:val="8"/>
        <w:spacing w:after="0" w:line="600" w:lineRule="exact"/>
        <w:ind w:left="17" w:leftChars="8" w:firstLine="640" w:firstLineChars="200"/>
        <w:rPr>
          <w:rFonts w:hint="eastAsia" w:eastAsia="仿宋_GB2312"/>
          <w:color w:val="auto"/>
          <w:sz w:val="32"/>
          <w:szCs w:val="32"/>
          <w:highlight w:val="none"/>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年度政府性基金支出预算支出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ascii="Times New Roman" w:hAnsi="Times New Roman" w:eastAsia="仿宋_GB2312" w:cs="仿宋"/>
          <w:color w:val="auto"/>
          <w:sz w:val="32"/>
          <w:szCs w:val="32"/>
          <w:highlight w:val="none"/>
          <w:u w:val="none"/>
        </w:rPr>
        <w:t>本部门无政府性基金预算支出</w:t>
      </w:r>
      <w:r>
        <w:rPr>
          <w:rFonts w:hint="eastAsia" w:eastAsia="仿宋_GB2312" w:cs="仿宋"/>
          <w:color w:val="auto"/>
          <w:sz w:val="32"/>
          <w:szCs w:val="32"/>
          <w:highlight w:val="none"/>
          <w:u w:val="none"/>
          <w:lang w:eastAsia="zh-CN"/>
        </w:rPr>
        <w:t>。</w:t>
      </w:r>
    </w:p>
    <w:p w14:paraId="5E854242">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九、国有资本经营预算支出预算情况说明</w:t>
      </w:r>
    </w:p>
    <w:p w14:paraId="07527414">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w:t>
      </w:r>
      <w:r>
        <w:rPr>
          <w:rFonts w:hint="eastAsia" w:eastAsia="仿宋_GB2312" w:cstheme="minorBidi"/>
          <w:color w:val="auto"/>
          <w:sz w:val="32"/>
          <w:szCs w:val="32"/>
          <w:highlight w:val="none"/>
          <w:u w:val="none"/>
        </w:rPr>
        <w:t>国有资本经营预算支出</w:t>
      </w:r>
      <w:r>
        <w:rPr>
          <w:rFonts w:hint="eastAsia" w:eastAsia="仿宋_GB2312" w:cstheme="minorBidi"/>
          <w:color w:val="auto"/>
          <w:sz w:val="32"/>
          <w:szCs w:val="32"/>
          <w:highlight w:val="none"/>
          <w:u w:val="none"/>
        </w:rPr>
        <w:tab/>
      </w:r>
      <w:r>
        <w:rPr>
          <w:rFonts w:hint="eastAsia" w:eastAsia="仿宋_GB2312" w:cstheme="minorBidi"/>
          <w:color w:val="auto"/>
          <w:sz w:val="32"/>
          <w:szCs w:val="32"/>
          <w:highlight w:val="none"/>
          <w:u w:val="none"/>
          <w:lang w:val="en-US" w:eastAsia="zh-CN"/>
        </w:rPr>
        <w:t>0</w:t>
      </w:r>
      <w:r>
        <w:rPr>
          <w:rFonts w:hint="eastAsia" w:eastAsia="仿宋_GB2312" w:cstheme="minorBidi"/>
          <w:color w:val="auto"/>
          <w:sz w:val="32"/>
          <w:szCs w:val="32"/>
          <w:highlight w:val="none"/>
          <w:u w:val="none"/>
        </w:rPr>
        <w:t xml:space="preserve">  万元</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本部门无国有资本经营预算支出</w:t>
      </w:r>
      <w:r>
        <w:rPr>
          <w:rFonts w:hint="eastAsia" w:eastAsia="仿宋_GB2312" w:cstheme="minorBidi"/>
          <w:color w:val="auto"/>
          <w:sz w:val="32"/>
          <w:szCs w:val="32"/>
          <w:highlight w:val="none"/>
          <w:u w:val="none"/>
          <w:lang w:eastAsia="zh-CN"/>
        </w:rPr>
        <w:t>。</w:t>
      </w:r>
    </w:p>
    <w:p w14:paraId="7E0D0A21">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十、项目支出预算情况说明</w:t>
      </w:r>
    </w:p>
    <w:p w14:paraId="76C58BDE">
      <w:pPr>
        <w:spacing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年度预算安排项目</w:t>
      </w:r>
      <w:r>
        <w:rPr>
          <w:rFonts w:hint="eastAsia" w:eastAsia="仿宋_GB2312"/>
          <w:color w:val="auto"/>
          <w:sz w:val="32"/>
          <w:szCs w:val="32"/>
          <w:highlight w:val="none"/>
          <w:u w:val="none"/>
          <w:lang w:val="en-US" w:eastAsia="zh-CN"/>
        </w:rPr>
        <w:t>107</w:t>
      </w:r>
      <w:r>
        <w:rPr>
          <w:rFonts w:eastAsia="仿宋_GB2312"/>
          <w:color w:val="auto"/>
          <w:sz w:val="32"/>
          <w:szCs w:val="32"/>
          <w:highlight w:val="none"/>
          <w:u w:val="none"/>
        </w:rPr>
        <w:t>个，项目预算总金额</w:t>
      </w:r>
      <w:r>
        <w:rPr>
          <w:rFonts w:hint="eastAsia" w:eastAsia="仿宋_GB2312"/>
          <w:color w:val="auto"/>
          <w:sz w:val="32"/>
          <w:szCs w:val="32"/>
          <w:highlight w:val="none"/>
          <w:u w:val="none"/>
          <w:lang w:val="en-US" w:eastAsia="zh-CN"/>
        </w:rPr>
        <w:t>8916.59</w:t>
      </w:r>
      <w:r>
        <w:rPr>
          <w:rFonts w:eastAsia="仿宋_GB2312"/>
          <w:color w:val="auto"/>
          <w:sz w:val="32"/>
          <w:szCs w:val="32"/>
          <w:highlight w:val="none"/>
          <w:u w:val="none"/>
        </w:rPr>
        <w:t>万元。其中，财政本年拨款金额</w:t>
      </w:r>
      <w:r>
        <w:rPr>
          <w:rFonts w:hint="eastAsia" w:eastAsia="仿宋_GB2312"/>
          <w:color w:val="auto"/>
          <w:sz w:val="32"/>
          <w:szCs w:val="32"/>
          <w:highlight w:val="none"/>
          <w:u w:val="none"/>
          <w:lang w:val="en-US" w:eastAsia="zh-CN"/>
        </w:rPr>
        <w:t>3616.26</w:t>
      </w:r>
      <w:r>
        <w:rPr>
          <w:rFonts w:eastAsia="仿宋_GB2312"/>
          <w:color w:val="auto"/>
          <w:sz w:val="32"/>
          <w:szCs w:val="32"/>
          <w:highlight w:val="none"/>
          <w:u w:val="none"/>
        </w:rPr>
        <w:t>万元，财政拨款结转结余</w:t>
      </w:r>
      <w:r>
        <w:rPr>
          <w:rFonts w:hint="eastAsia" w:eastAsia="仿宋_GB2312"/>
          <w:color w:val="auto"/>
          <w:sz w:val="32"/>
          <w:szCs w:val="32"/>
          <w:highlight w:val="none"/>
          <w:u w:val="none"/>
          <w:lang w:val="en-US" w:eastAsia="zh-CN"/>
        </w:rPr>
        <w:t>5300.33</w:t>
      </w:r>
      <w:r>
        <w:rPr>
          <w:rFonts w:eastAsia="仿宋_GB2312"/>
          <w:color w:val="auto"/>
          <w:sz w:val="32"/>
          <w:szCs w:val="32"/>
          <w:highlight w:val="none"/>
          <w:u w:val="none"/>
        </w:rPr>
        <w:t>万元。</w:t>
      </w:r>
    </w:p>
    <w:p w14:paraId="28A68141">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十一、</w:t>
      </w:r>
      <w:r>
        <w:rPr>
          <w:rFonts w:hint="eastAsia" w:eastAsia="黑体" w:cs="黑体"/>
          <w:color w:val="auto"/>
          <w:sz w:val="32"/>
          <w:szCs w:val="36"/>
          <w:highlight w:val="none"/>
          <w:u w:val="none"/>
          <w:lang w:val="en-US" w:eastAsia="zh-CN"/>
        </w:rPr>
        <w:t>机构</w:t>
      </w:r>
      <w:r>
        <w:rPr>
          <w:rFonts w:hint="eastAsia" w:eastAsia="黑体" w:cs="黑体"/>
          <w:color w:val="auto"/>
          <w:sz w:val="32"/>
          <w:szCs w:val="36"/>
          <w:highlight w:val="none"/>
          <w:u w:val="none"/>
        </w:rPr>
        <w:t>运行经费支出预算情况说明</w:t>
      </w:r>
    </w:p>
    <w:p w14:paraId="11F138C4">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w:t>
      </w:r>
      <w:r>
        <w:rPr>
          <w:rFonts w:hint="eastAsia" w:eastAsia="仿宋_GB2312"/>
          <w:color w:val="auto"/>
          <w:sz w:val="32"/>
          <w:szCs w:val="32"/>
          <w:highlight w:val="none"/>
          <w:u w:val="none"/>
          <w:lang w:val="en-US" w:eastAsia="zh-CN"/>
        </w:rPr>
        <w:t>机构</w:t>
      </w:r>
      <w:r>
        <w:rPr>
          <w:rFonts w:eastAsia="仿宋_GB2312"/>
          <w:color w:val="auto"/>
          <w:sz w:val="32"/>
          <w:szCs w:val="32"/>
          <w:highlight w:val="none"/>
          <w:u w:val="none"/>
        </w:rPr>
        <w:t>运行经费预算支出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lang w:val="en-US" w:eastAsia="zh-CN"/>
        </w:rPr>
        <w:t>2025年本部门机构</w:t>
      </w:r>
      <w:r>
        <w:rPr>
          <w:rFonts w:eastAsia="仿宋_GB2312"/>
          <w:color w:val="auto"/>
          <w:sz w:val="32"/>
          <w:szCs w:val="32"/>
          <w:highlight w:val="none"/>
          <w:u w:val="none"/>
        </w:rPr>
        <w:t>运行经费预算支出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无变动。</w:t>
      </w:r>
    </w:p>
    <w:p w14:paraId="063E19FE">
      <w:pPr>
        <w:spacing w:line="600" w:lineRule="exact"/>
        <w:ind w:left="0" w:leftChars="0" w:firstLine="640" w:firstLineChars="200"/>
        <w:outlineLvl w:val="2"/>
        <w:rPr>
          <w:rFonts w:eastAsia="黑体" w:cs="黑体"/>
          <w:b/>
          <w:bCs/>
          <w:color w:val="auto"/>
          <w:sz w:val="32"/>
          <w:szCs w:val="36"/>
          <w:highlight w:val="none"/>
          <w:u w:val="none"/>
        </w:rPr>
      </w:pPr>
      <w:r>
        <w:rPr>
          <w:rFonts w:hint="eastAsia" w:eastAsia="黑体" w:cs="黑体"/>
          <w:color w:val="auto"/>
          <w:sz w:val="32"/>
          <w:szCs w:val="36"/>
          <w:highlight w:val="none"/>
          <w:u w:val="none"/>
        </w:rPr>
        <w:t>十二、政府采购支出预算情况说明</w:t>
      </w:r>
    </w:p>
    <w:p w14:paraId="5A6F6F54">
      <w:pPr>
        <w:spacing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年度政府采购支出预算总额</w:t>
      </w:r>
      <w:r>
        <w:rPr>
          <w:rFonts w:eastAsia="仿宋_GB2312"/>
          <w:color w:val="auto"/>
          <w:sz w:val="32"/>
          <w:szCs w:val="32"/>
          <w:highlight w:val="none"/>
          <w:u w:val="none"/>
        </w:rPr>
        <w:tab/>
      </w:r>
      <w:r>
        <w:rPr>
          <w:rFonts w:eastAsia="仿宋_GB2312"/>
          <w:color w:val="auto"/>
          <w:sz w:val="32"/>
          <w:szCs w:val="32"/>
          <w:highlight w:val="none"/>
          <w:u w:val="none"/>
        </w:rPr>
        <w:t xml:space="preserve"> </w:t>
      </w:r>
      <w:r>
        <w:rPr>
          <w:rFonts w:hint="eastAsia" w:eastAsia="仿宋_GB2312"/>
          <w:color w:val="auto"/>
          <w:sz w:val="32"/>
          <w:szCs w:val="32"/>
          <w:highlight w:val="none"/>
          <w:u w:val="none"/>
          <w:lang w:val="en-US" w:eastAsia="zh-CN"/>
        </w:rPr>
        <w:t>35413.75</w:t>
      </w:r>
      <w:r>
        <w:rPr>
          <w:rFonts w:eastAsia="仿宋_GB2312"/>
          <w:color w:val="auto"/>
          <w:sz w:val="32"/>
          <w:szCs w:val="32"/>
          <w:highlight w:val="none"/>
          <w:u w:val="none"/>
        </w:rPr>
        <w:t>万元，其中：拟采购货物支出</w:t>
      </w:r>
      <w:r>
        <w:rPr>
          <w:rFonts w:hint="eastAsia" w:eastAsia="仿宋_GB2312"/>
          <w:color w:val="auto"/>
          <w:sz w:val="32"/>
          <w:szCs w:val="32"/>
          <w:highlight w:val="none"/>
          <w:u w:val="none"/>
          <w:lang w:val="en-US" w:eastAsia="zh-CN"/>
        </w:rPr>
        <w:t>11455.6</w:t>
      </w:r>
      <w:r>
        <w:rPr>
          <w:rFonts w:eastAsia="仿宋_GB2312"/>
          <w:color w:val="auto"/>
          <w:sz w:val="32"/>
          <w:szCs w:val="32"/>
          <w:highlight w:val="none"/>
          <w:u w:val="none"/>
        </w:rPr>
        <w:t>万元、拟购买服务支出</w:t>
      </w:r>
      <w:r>
        <w:rPr>
          <w:rFonts w:hint="eastAsia" w:eastAsia="仿宋_GB2312"/>
          <w:color w:val="auto"/>
          <w:sz w:val="32"/>
          <w:szCs w:val="32"/>
          <w:highlight w:val="none"/>
          <w:u w:val="none"/>
          <w:lang w:val="en-US" w:eastAsia="zh-CN"/>
        </w:rPr>
        <w:t>23958.15</w:t>
      </w:r>
      <w:r>
        <w:rPr>
          <w:rFonts w:eastAsia="仿宋_GB2312"/>
          <w:color w:val="auto"/>
          <w:sz w:val="32"/>
          <w:szCs w:val="32"/>
          <w:highlight w:val="none"/>
          <w:u w:val="none"/>
        </w:rPr>
        <w:t>万元。</w:t>
      </w:r>
    </w:p>
    <w:p w14:paraId="2B312047">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十三、国有资产占用情况说明</w:t>
      </w:r>
    </w:p>
    <w:p w14:paraId="78383938">
      <w:pPr>
        <w:spacing w:line="600" w:lineRule="exact"/>
        <w:ind w:firstLine="640" w:firstLineChars="200"/>
        <w:rPr>
          <w:rFonts w:eastAsia="仿宋_GB2312" w:cstheme="minorBidi"/>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w:t>
      </w:r>
      <w:r>
        <w:rPr>
          <w:rFonts w:eastAsia="仿宋_GB2312"/>
          <w:color w:val="auto"/>
          <w:sz w:val="32"/>
          <w:szCs w:val="32"/>
          <w:highlight w:val="none"/>
          <w:u w:val="none"/>
        </w:rPr>
        <w:t>共有车辆</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26</w:t>
      </w:r>
      <w:r>
        <w:rPr>
          <w:rFonts w:eastAsia="仿宋_GB2312"/>
          <w:color w:val="auto"/>
          <w:sz w:val="32"/>
          <w:szCs w:val="32"/>
          <w:highlight w:val="none"/>
          <w:u w:val="none"/>
        </w:rPr>
        <w:t>辆，其中，一般公务用车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辆、执法执勤用车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辆、特种专业技术用车</w:t>
      </w:r>
      <w:r>
        <w:rPr>
          <w:rFonts w:hint="eastAsia" w:eastAsia="仿宋_GB2312"/>
          <w:color w:val="auto"/>
          <w:sz w:val="32"/>
          <w:szCs w:val="32"/>
          <w:highlight w:val="none"/>
          <w:u w:val="none"/>
          <w:lang w:val="en-US" w:eastAsia="zh-CN"/>
        </w:rPr>
        <w:t>10</w:t>
      </w:r>
      <w:r>
        <w:rPr>
          <w:rFonts w:eastAsia="仿宋_GB2312"/>
          <w:color w:val="auto"/>
          <w:sz w:val="32"/>
          <w:szCs w:val="32"/>
          <w:highlight w:val="none"/>
          <w:u w:val="none"/>
        </w:rPr>
        <w:t>辆、业务用车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辆、其他用车</w:t>
      </w:r>
      <w:r>
        <w:rPr>
          <w:rFonts w:hint="eastAsia" w:eastAsia="仿宋_GB2312"/>
          <w:color w:val="auto"/>
          <w:sz w:val="32"/>
          <w:szCs w:val="32"/>
          <w:highlight w:val="none"/>
          <w:u w:val="none"/>
          <w:lang w:val="en-US" w:eastAsia="zh-CN"/>
        </w:rPr>
        <w:t>16</w:t>
      </w:r>
      <w:r>
        <w:rPr>
          <w:rFonts w:eastAsia="仿宋_GB2312"/>
          <w:color w:val="auto"/>
          <w:sz w:val="32"/>
          <w:szCs w:val="32"/>
          <w:highlight w:val="none"/>
          <w:u w:val="none"/>
        </w:rPr>
        <w:t>辆等</w:t>
      </w:r>
      <w:r>
        <w:rPr>
          <w:rFonts w:hint="eastAsia" w:eastAsia="仿宋_GB2312"/>
          <w:color w:val="auto"/>
          <w:sz w:val="32"/>
          <w:szCs w:val="32"/>
          <w:highlight w:val="none"/>
          <w:u w:val="none"/>
          <w:lang w:eastAsia="zh-CN"/>
        </w:rPr>
        <w:t>。</w:t>
      </w:r>
      <w:r>
        <w:rPr>
          <w:rFonts w:eastAsia="仿宋_GB2312"/>
          <w:color w:val="auto"/>
          <w:sz w:val="32"/>
          <w:szCs w:val="32"/>
          <w:highlight w:val="none"/>
          <w:u w:val="none"/>
        </w:rPr>
        <w:t>单价50万元（含）以上的设备</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591</w:t>
      </w:r>
      <w:r>
        <w:rPr>
          <w:rFonts w:eastAsia="仿宋_GB2312"/>
          <w:color w:val="auto"/>
          <w:sz w:val="32"/>
          <w:szCs w:val="32"/>
          <w:highlight w:val="none"/>
          <w:u w:val="none"/>
        </w:rPr>
        <w:t>台（套），单价100万元（含）以上的设备</w:t>
      </w:r>
      <w:r>
        <w:rPr>
          <w:rFonts w:hint="eastAsia" w:eastAsia="仿宋_GB2312"/>
          <w:color w:val="auto"/>
          <w:sz w:val="32"/>
          <w:szCs w:val="32"/>
          <w:highlight w:val="none"/>
          <w:u w:val="none"/>
          <w:lang w:val="en-US" w:eastAsia="zh-CN"/>
        </w:rPr>
        <w:t>310</w:t>
      </w:r>
      <w:r>
        <w:rPr>
          <w:rFonts w:eastAsia="仿宋_GB2312"/>
          <w:color w:val="auto"/>
          <w:sz w:val="32"/>
          <w:szCs w:val="32"/>
          <w:highlight w:val="none"/>
          <w:u w:val="none"/>
        </w:rPr>
        <w:t xml:space="preserve"> 台（套）。</w:t>
      </w:r>
    </w:p>
    <w:p w14:paraId="23BD5844">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 xml:space="preserve">十四、项目绩效目标情况说明 </w:t>
      </w:r>
    </w:p>
    <w:p w14:paraId="6ADF0362">
      <w:pPr>
        <w:spacing w:line="600" w:lineRule="exact"/>
        <w:ind w:firstLine="640" w:firstLineChars="200"/>
        <w:rPr>
          <w:rFonts w:eastAsia="仿宋_GB2312" w:cstheme="minorBidi"/>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内蒙古医科大学附属医院2026</w:t>
      </w:r>
      <w:r>
        <w:rPr>
          <w:rFonts w:eastAsia="仿宋_GB2312"/>
          <w:color w:val="auto"/>
          <w:sz w:val="32"/>
          <w:szCs w:val="32"/>
          <w:highlight w:val="none"/>
          <w:u w:val="none"/>
        </w:rPr>
        <w:t>年度</w:t>
      </w:r>
      <w:r>
        <w:rPr>
          <w:rFonts w:hint="eastAsia" w:eastAsia="仿宋_GB2312" w:cstheme="minorBidi"/>
          <w:color w:val="auto"/>
          <w:sz w:val="32"/>
          <w:szCs w:val="32"/>
          <w:highlight w:val="none"/>
          <w:u w:val="none"/>
        </w:rPr>
        <w:t>填报绩效目标的预算项目</w:t>
      </w:r>
      <w:r>
        <w:rPr>
          <w:rFonts w:hint="eastAsia" w:eastAsia="仿宋_GB2312" w:cstheme="minorBidi"/>
          <w:color w:val="auto"/>
          <w:sz w:val="32"/>
          <w:szCs w:val="32"/>
          <w:highlight w:val="none"/>
          <w:u w:val="none"/>
          <w:lang w:val="en-US" w:eastAsia="zh-CN"/>
        </w:rPr>
        <w:t>28</w:t>
      </w:r>
      <w:r>
        <w:rPr>
          <w:rFonts w:hint="eastAsia" w:eastAsia="仿宋_GB2312" w:cstheme="minorBidi"/>
          <w:color w:val="auto"/>
          <w:sz w:val="32"/>
          <w:szCs w:val="32"/>
          <w:highlight w:val="none"/>
          <w:u w:val="none"/>
        </w:rPr>
        <w:t xml:space="preserve"> 个，公开</w:t>
      </w:r>
      <w:r>
        <w:rPr>
          <w:rFonts w:hint="eastAsia" w:eastAsia="仿宋_GB2312" w:cstheme="minorBidi"/>
          <w:color w:val="auto"/>
          <w:sz w:val="32"/>
          <w:szCs w:val="32"/>
          <w:highlight w:val="none"/>
          <w:u w:val="none"/>
          <w:lang w:val="en-US" w:eastAsia="zh-CN"/>
        </w:rPr>
        <w:t>项目28</w:t>
      </w:r>
      <w:r>
        <w:rPr>
          <w:rFonts w:hint="eastAsia" w:eastAsia="仿宋_GB2312" w:cstheme="minorBidi"/>
          <w:color w:val="auto"/>
          <w:sz w:val="32"/>
          <w:szCs w:val="32"/>
          <w:highlight w:val="none"/>
          <w:u w:val="none"/>
        </w:rPr>
        <w:t>个，公开项目占全部预算项目的100</w:t>
      </w:r>
      <w:r>
        <w:rPr>
          <w:rFonts w:hint="eastAsia" w:ascii="仿宋_GB2312" w:hAnsi="仿宋_GB2312"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。公开填报绩效目标的项目预算</w:t>
      </w:r>
      <w:r>
        <w:rPr>
          <w:rFonts w:hint="eastAsia" w:eastAsia="仿宋_GB2312" w:cstheme="minorBidi"/>
          <w:color w:val="auto"/>
          <w:sz w:val="32"/>
          <w:szCs w:val="32"/>
          <w:highlight w:val="none"/>
          <w:u w:val="none"/>
          <w:lang w:val="en-US" w:eastAsia="zh-CN"/>
        </w:rPr>
        <w:t>337487.16</w:t>
      </w:r>
      <w:r>
        <w:rPr>
          <w:rFonts w:hint="eastAsia" w:eastAsia="仿宋_GB2312" w:cstheme="minorBidi"/>
          <w:color w:val="auto"/>
          <w:sz w:val="32"/>
          <w:szCs w:val="32"/>
          <w:highlight w:val="none"/>
          <w:u w:val="none"/>
        </w:rPr>
        <w:t>万元，占全部项目预算的100</w:t>
      </w:r>
      <w:r>
        <w:rPr>
          <w:rFonts w:hint="eastAsia" w:ascii="仿宋_GB2312" w:hAnsi="仿宋_GB2312"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 xml:space="preserve">。 </w:t>
      </w:r>
    </w:p>
    <w:p w14:paraId="2C14426F">
      <w:pPr>
        <w:pStyle w:val="18"/>
        <w:spacing w:after="0" w:line="600" w:lineRule="exact"/>
        <w:rPr>
          <w:rFonts w:hint="default" w:ascii="方正小标宋简体" w:hAnsi="方正小标宋简体" w:eastAsia="方正小标宋简体" w:cs="方正小标宋简体"/>
          <w:color w:val="auto"/>
          <w:sz w:val="36"/>
          <w:szCs w:val="36"/>
          <w:highlight w:val="none"/>
          <w:u w:val="none"/>
        </w:rPr>
      </w:pPr>
    </w:p>
    <w:p w14:paraId="2A004662">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2" w:name="_Toc15573"/>
      <w:r>
        <w:rPr>
          <w:rFonts w:hint="eastAsia" w:ascii="方正小标宋简体" w:hAnsi="方正小标宋简体" w:eastAsia="方正小标宋简体" w:cs="方正小标宋简体"/>
          <w:b w:val="0"/>
          <w:bCs w:val="0"/>
          <w:color w:val="auto"/>
          <w:sz w:val="36"/>
          <w:szCs w:val="36"/>
          <w:highlight w:val="none"/>
          <w:u w:val="none"/>
        </w:rPr>
        <w:t>第三部分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w:t>
      </w:r>
      <w:r>
        <w:rPr>
          <w:rFonts w:hint="eastAsia" w:ascii="方正小标宋简体" w:hAnsi="方正小标宋简体" w:eastAsia="方正小标宋简体" w:cs="方正小标宋简体"/>
          <w:b w:val="0"/>
          <w:bCs w:val="0"/>
          <w:color w:val="auto"/>
          <w:sz w:val="36"/>
          <w:szCs w:val="36"/>
          <w:highlight w:val="none"/>
          <w:u w:val="none"/>
        </w:rPr>
        <w:t>名词解释</w:t>
      </w:r>
      <w:bookmarkEnd w:id="2"/>
    </w:p>
    <w:p w14:paraId="46DCF320">
      <w:pPr>
        <w:rPr>
          <w:color w:val="auto"/>
          <w:sz w:val="36"/>
          <w:szCs w:val="36"/>
          <w:highlight w:val="none"/>
          <w:u w:val="none"/>
        </w:rPr>
      </w:pPr>
    </w:p>
    <w:p w14:paraId="1356F680">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一、财政拨款：</w:t>
      </w:r>
      <w:r>
        <w:rPr>
          <w:rFonts w:hint="eastAsia" w:eastAsia="仿宋_GB2312" w:cstheme="minorBidi"/>
          <w:color w:val="auto"/>
          <w:sz w:val="32"/>
          <w:szCs w:val="32"/>
          <w:highlight w:val="none"/>
          <w:u w:val="none"/>
        </w:rPr>
        <w:t>从同级财政部门取得的各类财政拨款，包括一般公共预算拨款、政府性基金预算拨款、国有资本经营预算拨款。</w:t>
      </w:r>
    </w:p>
    <w:p w14:paraId="06E25E91">
      <w:pPr>
        <w:spacing w:line="600" w:lineRule="exact"/>
        <w:ind w:firstLine="643" w:firstLineChars="200"/>
        <w:rPr>
          <w:color w:val="auto"/>
          <w:highlight w:val="none"/>
          <w:u w:val="none"/>
        </w:rPr>
      </w:pPr>
      <w:r>
        <w:rPr>
          <w:rFonts w:hint="eastAsia" w:eastAsia="仿宋_GB2312" w:cstheme="minorBidi"/>
          <w:b/>
          <w:bCs/>
          <w:color w:val="auto"/>
          <w:sz w:val="32"/>
          <w:szCs w:val="32"/>
          <w:highlight w:val="none"/>
          <w:u w:val="none"/>
        </w:rPr>
        <w:t>二、一般公共预算拨款收入：</w:t>
      </w:r>
      <w:r>
        <w:rPr>
          <w:rFonts w:hint="eastAsia" w:ascii="Times New Roman" w:hAnsi="Times New Roman" w:eastAsia="仿宋_GB2312" w:cs="仿宋"/>
          <w:bCs/>
          <w:color w:val="auto"/>
          <w:sz w:val="30"/>
          <w:szCs w:val="30"/>
          <w:highlight w:val="none"/>
          <w:u w:val="none"/>
        </w:rPr>
        <w:t>指财政当年拨付的资金。</w:t>
      </w:r>
    </w:p>
    <w:p w14:paraId="1342A912">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三、财政专户管理资金：</w:t>
      </w:r>
      <w:r>
        <w:rPr>
          <w:rFonts w:hint="eastAsia" w:eastAsia="仿宋_GB2312" w:cstheme="minorBidi"/>
          <w:color w:val="auto"/>
          <w:sz w:val="32"/>
          <w:szCs w:val="32"/>
          <w:highlight w:val="none"/>
          <w:u w:val="none"/>
        </w:rPr>
        <w:t>缴入财政专户、实行专项管理的高中以上学费、住宿费、高校委托培养费、函大、电大、夜大及短训班培训费等教育收费。</w:t>
      </w:r>
    </w:p>
    <w:p w14:paraId="76777B4C">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四、单位资金：</w:t>
      </w:r>
      <w:r>
        <w:rPr>
          <w:rFonts w:hint="eastAsia" w:eastAsia="仿宋_GB2312" w:cstheme="minorBidi"/>
          <w:color w:val="auto"/>
          <w:sz w:val="32"/>
          <w:szCs w:val="32"/>
          <w:highlight w:val="none"/>
          <w:u w:val="none"/>
        </w:rPr>
        <w:t>除财政拨款收入和财政专户管理资金以外的收入，包括事业收入（不含教育收费）、上级补助收入、附属单位上缴收入、事业单位经营收入及其他收入（包含债务收入、投资收益等）。</w:t>
      </w:r>
    </w:p>
    <w:p w14:paraId="716B5F2B">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五、基本支出：</w:t>
      </w:r>
      <w:r>
        <w:rPr>
          <w:rFonts w:hint="eastAsia" w:eastAsia="仿宋_GB2312" w:cstheme="minorBidi"/>
          <w:color w:val="auto"/>
          <w:sz w:val="32"/>
          <w:szCs w:val="32"/>
          <w:highlight w:val="none"/>
          <w:u w:val="none"/>
        </w:rPr>
        <w:t>指为保障机构正常运转、完成工作任务而发生的人员支出和公用支出。</w:t>
      </w:r>
    </w:p>
    <w:p w14:paraId="4FA37828">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六、项目支出：</w:t>
      </w:r>
      <w:r>
        <w:rPr>
          <w:rFonts w:hint="eastAsia" w:eastAsia="仿宋_GB2312" w:cstheme="minorBidi"/>
          <w:color w:val="auto"/>
          <w:sz w:val="32"/>
          <w:szCs w:val="32"/>
          <w:highlight w:val="none"/>
          <w:u w:val="none"/>
        </w:rPr>
        <w:t>指在基本支出之外为完成特定工作任务和事业发展目标所发生的支出。</w:t>
      </w:r>
    </w:p>
    <w:p w14:paraId="3EA77E01">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七、对个人和家庭的补助：</w:t>
      </w:r>
      <w:r>
        <w:rPr>
          <w:rFonts w:hint="eastAsia" w:eastAsia="仿宋_GB2312" w:cstheme="minorBidi"/>
          <w:color w:val="auto"/>
          <w:sz w:val="32"/>
          <w:szCs w:val="32"/>
          <w:highlight w:val="none"/>
          <w:u w:val="none"/>
        </w:rPr>
        <w:t>是指政府用于对个人和家庭的补助支出。</w:t>
      </w:r>
    </w:p>
    <w:p w14:paraId="30632297">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八、“三公”经费：</w:t>
      </w:r>
      <w:r>
        <w:rPr>
          <w:rFonts w:hint="eastAsia" w:eastAsia="仿宋_GB2312" w:cstheme="minorBidi"/>
          <w:color w:val="auto"/>
          <w:sz w:val="32"/>
          <w:szCs w:val="32"/>
          <w:highlight w:val="none"/>
          <w:u w:val="none"/>
        </w:rPr>
        <w:t>指部门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用一般公共预算财政拨款安排的因公出国（境）费、公务用车购置及运行维护费和公务接待费。其中，因公出国（境）费反映部门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公务出国（境）的住宿费、旅费、伙食补助费、杂费、培训费等支出；公务用车购置及运行维护费反映部门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公务用车购置费、燃料费、维修费、过路过桥费、保险费、安全奖励费用等支出；公务接待费反映部门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按规定开支的各类公务接待（含外宾接待）支出。</w:t>
      </w:r>
    </w:p>
    <w:p w14:paraId="715BD52C">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九、</w:t>
      </w:r>
      <w:r>
        <w:rPr>
          <w:rFonts w:hint="eastAsia" w:eastAsia="仿宋_GB2312" w:cstheme="minorBidi"/>
          <w:b/>
          <w:bCs/>
          <w:color w:val="auto"/>
          <w:sz w:val="32"/>
          <w:szCs w:val="32"/>
          <w:highlight w:val="none"/>
          <w:u w:val="none"/>
          <w:lang w:val="en-US" w:eastAsia="zh-CN"/>
        </w:rPr>
        <w:t>机构</w:t>
      </w:r>
      <w:r>
        <w:rPr>
          <w:rFonts w:hint="eastAsia" w:eastAsia="仿宋_GB2312" w:cstheme="minorBidi"/>
          <w:b/>
          <w:bCs/>
          <w:color w:val="auto"/>
          <w:sz w:val="32"/>
          <w:szCs w:val="32"/>
          <w:highlight w:val="none"/>
          <w:u w:val="none"/>
        </w:rPr>
        <w:t>运行经费：</w:t>
      </w:r>
      <w:r>
        <w:rPr>
          <w:rFonts w:hint="eastAsia" w:eastAsia="仿宋_GB2312" w:cstheme="minorBidi"/>
          <w:color w:val="auto"/>
          <w:sz w:val="32"/>
          <w:szCs w:val="32"/>
          <w:highlight w:val="none"/>
          <w:u w:val="none"/>
        </w:rPr>
        <w:t>指部门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B8D7344">
      <w:pPr>
        <w:spacing w:line="600" w:lineRule="exact"/>
        <w:jc w:val="center"/>
        <w:rPr>
          <w:rFonts w:ascii="方正小标宋简体" w:hAnsi="方正小标宋简体" w:eastAsia="方正小标宋简体" w:cs="方正小标宋简体"/>
          <w:color w:val="auto"/>
          <w:sz w:val="36"/>
          <w:szCs w:val="36"/>
          <w:highlight w:val="none"/>
          <w:u w:val="none"/>
        </w:rPr>
      </w:pPr>
    </w:p>
    <w:p w14:paraId="0688AD8B">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3" w:name="_Toc21331"/>
      <w:r>
        <w:rPr>
          <w:rFonts w:hint="eastAsia" w:ascii="方正小标宋简体" w:hAnsi="方正小标宋简体" w:eastAsia="方正小标宋简体" w:cs="方正小标宋简体"/>
          <w:b w:val="0"/>
          <w:bCs w:val="0"/>
          <w:color w:val="auto"/>
          <w:sz w:val="36"/>
          <w:szCs w:val="36"/>
          <w:highlight w:val="none"/>
          <w:u w:val="none"/>
        </w:rPr>
        <w:t>第四部分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w:t>
      </w:r>
      <w:r>
        <w:rPr>
          <w:rFonts w:hint="eastAsia" w:ascii="方正小标宋简体" w:hAnsi="方正小标宋简体" w:eastAsia="方正小标宋简体" w:cs="方正小标宋简体"/>
          <w:b w:val="0"/>
          <w:bCs w:val="0"/>
          <w:color w:val="auto"/>
          <w:sz w:val="36"/>
          <w:szCs w:val="36"/>
          <w:highlight w:val="none"/>
          <w:u w:val="none"/>
        </w:rPr>
        <w:t>预算公开联系方式及信息反馈渠道</w:t>
      </w:r>
      <w:bookmarkEnd w:id="3"/>
    </w:p>
    <w:p w14:paraId="1F8E22E8">
      <w:pPr>
        <w:snapToGrid w:val="0"/>
        <w:spacing w:line="600" w:lineRule="exact"/>
        <w:rPr>
          <w:rFonts w:ascii="方正小标宋简体" w:hAnsi="方正小标宋简体" w:eastAsia="方正小标宋简体" w:cs="方正小标宋简体"/>
          <w:color w:val="auto"/>
          <w:sz w:val="36"/>
          <w:szCs w:val="36"/>
          <w:highlight w:val="none"/>
          <w:u w:val="none"/>
        </w:rPr>
      </w:pPr>
    </w:p>
    <w:p w14:paraId="2A9501FF">
      <w:pPr>
        <w:snapToGrid w:val="0"/>
        <w:spacing w:line="600" w:lineRule="exact"/>
        <w:ind w:firstLine="640" w:firstLineChars="200"/>
        <w:rPr>
          <w:rFonts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本单位预算公开信息反馈和联系方式：</w:t>
      </w:r>
    </w:p>
    <w:p w14:paraId="22B1EEC4">
      <w:pPr>
        <w:snapToGrid w:val="0"/>
        <w:spacing w:line="600" w:lineRule="exact"/>
        <w:ind w:firstLine="640" w:firstLineChars="200"/>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联系人：</w:t>
      </w:r>
      <w:r>
        <w:rPr>
          <w:rFonts w:hint="eastAsia" w:ascii="仿宋_GB2312" w:hAnsi="仿宋_GB2312" w:eastAsia="仿宋_GB2312" w:cs="仿宋_GB2312"/>
          <w:color w:val="auto"/>
          <w:sz w:val="32"/>
          <w:szCs w:val="32"/>
          <w:highlight w:val="none"/>
          <w:u w:val="none"/>
          <w:lang w:val="en-US" w:eastAsia="zh-CN"/>
        </w:rPr>
        <w:t xml:space="preserve">吴皆明    </w:t>
      </w:r>
      <w:r>
        <w:rPr>
          <w:rFonts w:hint="eastAsia" w:ascii="仿宋_GB2312" w:hAnsi="仿宋_GB2312" w:eastAsia="仿宋_GB2312" w:cs="仿宋_GB2312"/>
          <w:color w:val="auto"/>
          <w:sz w:val="32"/>
          <w:szCs w:val="32"/>
          <w:highlight w:val="none"/>
          <w:u w:val="none"/>
        </w:rPr>
        <w:t xml:space="preserve">      </w:t>
      </w:r>
      <w:r>
        <w:rPr>
          <w:rFonts w:hint="eastAsia" w:ascii="仿宋_GB2312" w:hAnsi="仿宋_GB2312" w:eastAsia="仿宋_GB2312" w:cs="仿宋_GB2312"/>
          <w:color w:val="auto"/>
          <w:sz w:val="32"/>
          <w:szCs w:val="32"/>
          <w:highlight w:val="none"/>
          <w:u w:val="none"/>
          <w:lang w:val="en-US" w:eastAsia="zh-CN"/>
        </w:rPr>
        <w:t xml:space="preserve"> </w:t>
      </w:r>
      <w:r>
        <w:rPr>
          <w:rFonts w:hint="eastAsia" w:ascii="仿宋_GB2312" w:hAnsi="仿宋_GB2312" w:eastAsia="仿宋_GB2312" w:cs="仿宋_GB2312"/>
          <w:color w:val="auto"/>
          <w:sz w:val="32"/>
          <w:szCs w:val="32"/>
          <w:highlight w:val="none"/>
          <w:u w:val="none"/>
        </w:rPr>
        <w:t xml:space="preserve"> 联系电话：</w:t>
      </w:r>
      <w:r>
        <w:rPr>
          <w:rFonts w:hint="eastAsia" w:ascii="仿宋_GB2312" w:hAnsi="仿宋_GB2312" w:eastAsia="仿宋_GB2312" w:cs="仿宋_GB2312"/>
          <w:color w:val="auto"/>
          <w:sz w:val="32"/>
          <w:szCs w:val="32"/>
          <w:highlight w:val="none"/>
          <w:u w:val="none"/>
          <w:lang w:val="en-US" w:eastAsia="zh-CN"/>
        </w:rPr>
        <w:t>0471-3451180</w:t>
      </w:r>
    </w:p>
    <w:p w14:paraId="4B12DE89">
      <w:pPr>
        <w:snapToGrid w:val="0"/>
        <w:spacing w:line="600" w:lineRule="exact"/>
        <w:ind w:firstLine="640" w:firstLineChars="200"/>
        <w:rPr>
          <w:rFonts w:hint="default" w:ascii="仿宋_GB2312" w:hAnsi="仿宋_GB2312" w:eastAsia="仿宋_GB2312" w:cs="仿宋_GB2312"/>
          <w:color w:val="auto"/>
          <w:sz w:val="32"/>
          <w:szCs w:val="32"/>
          <w:highlight w:val="none"/>
          <w:u w:val="none"/>
          <w:lang w:val="en-US" w:eastAsia="zh-CN"/>
        </w:rPr>
        <w:sectPr>
          <w:headerReference r:id="rId3" w:type="default"/>
          <w:footerReference r:id="rId4" w:type="default"/>
          <w:pgSz w:w="11910" w:h="16840"/>
          <w:pgMar w:top="1580" w:right="1630" w:bottom="280" w:left="1240" w:header="720" w:footer="720" w:gutter="0"/>
          <w:pgNumType w:fmt="numberInDash"/>
          <w:cols w:space="720" w:num="1"/>
        </w:sectPr>
      </w:pPr>
      <w:r>
        <w:rPr>
          <w:rFonts w:hint="eastAsia" w:ascii="仿宋_GB2312" w:hAnsi="仿宋_GB2312" w:eastAsia="仿宋_GB2312" w:cs="仿宋_GB2312"/>
          <w:color w:val="auto"/>
          <w:sz w:val="32"/>
          <w:szCs w:val="32"/>
          <w:highlight w:val="none"/>
          <w:u w:val="none"/>
          <w:lang w:val="en-US" w:eastAsia="zh-CN"/>
        </w:rPr>
        <w:tab/>
      </w:r>
      <w:r>
        <w:rPr>
          <w:rFonts w:hint="eastAsia" w:ascii="仿宋_GB2312" w:hAnsi="仿宋_GB2312" w:eastAsia="仿宋_GB2312" w:cs="仿宋_GB2312"/>
          <w:color w:val="auto"/>
          <w:sz w:val="32"/>
          <w:szCs w:val="32"/>
          <w:highlight w:val="none"/>
          <w:u w:val="none"/>
          <w:lang w:val="en-US" w:eastAsia="zh-CN"/>
        </w:rPr>
        <w:t xml:space="preserve">       </w:t>
      </w:r>
    </w:p>
    <w:p w14:paraId="2AD712B0">
      <w:pPr>
        <w:pStyle w:val="18"/>
        <w:ind w:left="0" w:leftChars="0" w:firstLine="0"/>
        <w:rPr>
          <w:rFonts w:hint="default"/>
          <w:color w:val="auto"/>
          <w:highlight w:val="none"/>
          <w:u w:val="none"/>
        </w:rPr>
      </w:pPr>
    </w:p>
    <w:p w14:paraId="0F077BE0">
      <w:pPr>
        <w:bidi w:val="0"/>
        <w:rPr>
          <w:rFonts w:hint="default"/>
        </w:rPr>
      </w:pPr>
    </w:p>
    <w:p w14:paraId="28A27095">
      <w:pPr>
        <w:bidi w:val="0"/>
        <w:rPr>
          <w:rFonts w:hint="default"/>
        </w:rPr>
      </w:pPr>
    </w:p>
    <w:p w14:paraId="3350E26C">
      <w:pPr>
        <w:bidi w:val="0"/>
        <w:rPr>
          <w:rFonts w:hint="default"/>
        </w:rPr>
      </w:pPr>
    </w:p>
    <w:p w14:paraId="6F541CDB">
      <w:pPr>
        <w:bidi w:val="0"/>
        <w:rPr>
          <w:rFonts w:hint="default"/>
        </w:rPr>
      </w:pPr>
    </w:p>
    <w:p w14:paraId="1F5AB84C">
      <w:pPr>
        <w:bidi w:val="0"/>
        <w:rPr>
          <w:rFonts w:hint="default"/>
        </w:rPr>
      </w:pPr>
    </w:p>
    <w:p w14:paraId="67391920">
      <w:pPr>
        <w:bidi w:val="0"/>
        <w:rPr>
          <w:rFonts w:hint="default"/>
        </w:rPr>
      </w:pPr>
    </w:p>
    <w:p w14:paraId="41BA08E9">
      <w:pPr>
        <w:bidi w:val="0"/>
        <w:rPr>
          <w:rFonts w:hint="default"/>
        </w:rPr>
      </w:pPr>
    </w:p>
    <w:p w14:paraId="4533BEDC">
      <w:pPr>
        <w:bidi w:val="0"/>
        <w:rPr>
          <w:rFonts w:hint="default"/>
        </w:rPr>
      </w:pPr>
    </w:p>
    <w:p w14:paraId="50A75E06">
      <w:pPr>
        <w:bidi w:val="0"/>
        <w:rPr>
          <w:rFonts w:hint="default"/>
        </w:rPr>
      </w:pPr>
    </w:p>
    <w:p w14:paraId="1B97186A">
      <w:pPr>
        <w:bidi w:val="0"/>
        <w:rPr>
          <w:rFonts w:hint="default"/>
        </w:rPr>
      </w:pPr>
    </w:p>
    <w:p w14:paraId="4954B482">
      <w:pPr>
        <w:bidi w:val="0"/>
        <w:rPr>
          <w:rFonts w:hint="default"/>
        </w:rPr>
      </w:pPr>
    </w:p>
    <w:p w14:paraId="3BD41594">
      <w:pPr>
        <w:bidi w:val="0"/>
        <w:rPr>
          <w:rFonts w:hint="default"/>
        </w:rPr>
      </w:pPr>
    </w:p>
    <w:p w14:paraId="6FF50B45">
      <w:pPr>
        <w:bidi w:val="0"/>
        <w:rPr>
          <w:rFonts w:hint="default"/>
        </w:rPr>
      </w:pPr>
    </w:p>
    <w:p w14:paraId="425B1659">
      <w:pPr>
        <w:bidi w:val="0"/>
        <w:rPr>
          <w:rFonts w:hint="default"/>
        </w:rPr>
      </w:pPr>
    </w:p>
    <w:p w14:paraId="3C650BDB">
      <w:pPr>
        <w:bidi w:val="0"/>
        <w:rPr>
          <w:rFonts w:hint="default"/>
        </w:rPr>
      </w:pPr>
    </w:p>
    <w:p w14:paraId="0E994DBF">
      <w:pPr>
        <w:bidi w:val="0"/>
        <w:rPr>
          <w:rFonts w:hint="default"/>
        </w:rPr>
      </w:pPr>
    </w:p>
    <w:p w14:paraId="03384CA3">
      <w:pPr>
        <w:bidi w:val="0"/>
        <w:rPr>
          <w:rFonts w:hint="default"/>
        </w:rPr>
      </w:pPr>
    </w:p>
    <w:p w14:paraId="7034984E">
      <w:pPr>
        <w:bidi w:val="0"/>
        <w:rPr>
          <w:rFonts w:hint="default"/>
        </w:rPr>
      </w:pPr>
    </w:p>
    <w:p w14:paraId="7F981EB1">
      <w:pPr>
        <w:bidi w:val="0"/>
        <w:rPr>
          <w:rFonts w:hint="default"/>
        </w:rPr>
      </w:pPr>
    </w:p>
    <w:p w14:paraId="030D73EF">
      <w:pPr>
        <w:bidi w:val="0"/>
        <w:rPr>
          <w:rFonts w:hint="default"/>
        </w:rPr>
      </w:pPr>
    </w:p>
    <w:p w14:paraId="5F1B447B">
      <w:pPr>
        <w:bidi w:val="0"/>
        <w:rPr>
          <w:rFonts w:hint="default"/>
        </w:rPr>
      </w:pPr>
    </w:p>
    <w:p w14:paraId="72C43946">
      <w:pPr>
        <w:bidi w:val="0"/>
        <w:rPr>
          <w:rFonts w:hint="default"/>
        </w:rPr>
      </w:pPr>
    </w:p>
    <w:p w14:paraId="60EF0F3F">
      <w:pPr>
        <w:bidi w:val="0"/>
        <w:rPr>
          <w:rFonts w:hint="default"/>
        </w:rPr>
      </w:pPr>
    </w:p>
    <w:p w14:paraId="5C4363A6">
      <w:pPr>
        <w:bidi w:val="0"/>
        <w:rPr>
          <w:rFonts w:hint="default"/>
        </w:rPr>
      </w:pPr>
    </w:p>
    <w:p w14:paraId="69C52A47">
      <w:pPr>
        <w:bidi w:val="0"/>
        <w:rPr>
          <w:rFonts w:hint="default"/>
        </w:rPr>
      </w:pPr>
    </w:p>
    <w:p w14:paraId="18A53ADB">
      <w:pPr>
        <w:bidi w:val="0"/>
        <w:rPr>
          <w:rFonts w:hint="default"/>
        </w:rPr>
      </w:pPr>
    </w:p>
    <w:p w14:paraId="3098E681">
      <w:pPr>
        <w:bidi w:val="0"/>
        <w:rPr>
          <w:rFonts w:hint="default"/>
        </w:rPr>
      </w:pPr>
    </w:p>
    <w:p w14:paraId="19225D98">
      <w:pPr>
        <w:bidi w:val="0"/>
        <w:rPr>
          <w:rFonts w:hint="default"/>
        </w:rPr>
      </w:pPr>
    </w:p>
    <w:p w14:paraId="7AC2826A">
      <w:pPr>
        <w:bidi w:val="0"/>
        <w:rPr>
          <w:rFonts w:hint="default"/>
        </w:rPr>
      </w:pPr>
    </w:p>
    <w:p w14:paraId="3B2D665D">
      <w:pPr>
        <w:bidi w:val="0"/>
        <w:rPr>
          <w:rFonts w:hint="default"/>
        </w:rPr>
      </w:pPr>
    </w:p>
    <w:p w14:paraId="6E7A6F4A">
      <w:pPr>
        <w:bidi w:val="0"/>
        <w:rPr>
          <w:rFonts w:hint="default"/>
        </w:rPr>
      </w:pPr>
    </w:p>
    <w:p w14:paraId="0341A817">
      <w:pPr>
        <w:bidi w:val="0"/>
        <w:rPr>
          <w:rFonts w:hint="default"/>
        </w:rPr>
      </w:pPr>
    </w:p>
    <w:p w14:paraId="585F76FA">
      <w:pPr>
        <w:bidi w:val="0"/>
        <w:rPr>
          <w:rFonts w:hint="default"/>
        </w:rPr>
      </w:pPr>
    </w:p>
    <w:p w14:paraId="696D8D14">
      <w:pPr>
        <w:bidi w:val="0"/>
        <w:rPr>
          <w:rFonts w:hint="default"/>
        </w:rPr>
      </w:pPr>
    </w:p>
    <w:p w14:paraId="17CAE3F6">
      <w:pPr>
        <w:bidi w:val="0"/>
        <w:rPr>
          <w:rFonts w:hint="default"/>
        </w:rPr>
      </w:pPr>
    </w:p>
    <w:p w14:paraId="4BE7E98C">
      <w:pPr>
        <w:bidi w:val="0"/>
        <w:rPr>
          <w:rFonts w:hint="default"/>
        </w:rPr>
      </w:pPr>
    </w:p>
    <w:p w14:paraId="5B902D80">
      <w:pPr>
        <w:bidi w:val="0"/>
        <w:rPr>
          <w:rFonts w:hint="default"/>
        </w:rPr>
      </w:pPr>
    </w:p>
    <w:p w14:paraId="20403C7D">
      <w:pPr>
        <w:bidi w:val="0"/>
        <w:rPr>
          <w:rFonts w:hint="default"/>
        </w:rPr>
      </w:pPr>
    </w:p>
    <w:p w14:paraId="2647F8C4">
      <w:pPr>
        <w:bidi w:val="0"/>
        <w:rPr>
          <w:rFonts w:hint="default"/>
        </w:rPr>
      </w:pPr>
    </w:p>
    <w:p w14:paraId="5F3B07D5">
      <w:pPr>
        <w:bidi w:val="0"/>
        <w:rPr>
          <w:rFonts w:hint="default"/>
        </w:rPr>
      </w:pPr>
    </w:p>
    <w:p w14:paraId="38D07FE6">
      <w:pPr>
        <w:bidi w:val="0"/>
        <w:rPr>
          <w:rFonts w:hint="default"/>
        </w:rPr>
      </w:pPr>
    </w:p>
    <w:p w14:paraId="651948D7">
      <w:pPr>
        <w:bidi w:val="0"/>
        <w:rPr>
          <w:rFonts w:hint="default"/>
        </w:rPr>
      </w:pPr>
    </w:p>
    <w:p w14:paraId="0509960E">
      <w:pPr>
        <w:bidi w:val="0"/>
        <w:jc w:val="left"/>
        <w:rPr>
          <w:rFonts w:hint="default"/>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AC44CC6-708E-4F9A-9899-95854BC27244}"/>
  </w:font>
  <w:font w:name="黑体">
    <w:panose1 w:val="02010609060101010101"/>
    <w:charset w:val="86"/>
    <w:family w:val="auto"/>
    <w:pitch w:val="default"/>
    <w:sig w:usb0="800002BF" w:usb1="38CF7CFA" w:usb2="00000016" w:usb3="00000000" w:csb0="00040001" w:csb1="00000000"/>
    <w:embedRegular r:id="rId2" w:fontKey="{4B03699E-23E5-4B98-8E21-EB93DB099B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9B6C2587-1DBB-4455-AA87-CEC3AEEDED7E}"/>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C47313CD-6010-43E0-9F4C-E1DC6E58E554}"/>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5" w:fontKey="{4D4E6581-5C25-4DF0-B1FF-D681E4C235C2}"/>
  </w:font>
  <w:font w:name="仿宋">
    <w:panose1 w:val="02010609060101010101"/>
    <w:charset w:val="86"/>
    <w:family w:val="modern"/>
    <w:pitch w:val="default"/>
    <w:sig w:usb0="800002BF" w:usb1="38CF7CFA" w:usb2="00000016" w:usb3="00000000" w:csb0="00040001" w:csb1="00000000"/>
    <w:embedRegular r:id="rId6" w:fontKey="{9FF0A35C-917C-408B-B67B-0511A06F37E6}"/>
  </w:font>
  <w:font w:name="楷体">
    <w:panose1 w:val="02010609060101010101"/>
    <w:charset w:val="86"/>
    <w:family w:val="modern"/>
    <w:pitch w:val="default"/>
    <w:sig w:usb0="800002BF" w:usb1="38CF7CFA" w:usb2="00000016" w:usb3="00000000" w:csb0="00040001" w:csb1="00000000"/>
    <w:embedRegular r:id="rId7" w:fontKey="{E69D1E28-292D-43FF-98EA-DAB3056E0A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7AE08">
    <w:pPr>
      <w:pStyle w:val="12"/>
      <w:jc w:val="center"/>
    </w:pPr>
    <w:r>
      <mc:AlternateContent>
        <mc:Choice Requires="wps">
          <w:drawing>
            <wp:anchor distT="0" distB="0" distL="114300" distR="114300" simplePos="0" relativeHeight="251662336"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74D66">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2336;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66B74D66">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59125AB2">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5CFE7">
    <w:pPr>
      <w:pStyle w:val="1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A1652">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1312;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14:paraId="00CA1652">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14:paraId="5010EF3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6389D">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853614"/>
    <w:multiLevelType w:val="singleLevel"/>
    <w:tmpl w:val="CD853614"/>
    <w:lvl w:ilvl="0" w:tentative="0">
      <w:start w:val="1"/>
      <w:numFmt w:val="chineseCounting"/>
      <w:suff w:val="nothing"/>
      <w:lvlText w:val="（%1）"/>
      <w:lvlJc w:val="left"/>
      <w:rPr>
        <w:rFonts w:hint="eastAsia"/>
      </w:rPr>
    </w:lvl>
  </w:abstractNum>
  <w:abstractNum w:abstractNumId="1">
    <w:nsid w:val="3265B7C3"/>
    <w:multiLevelType w:val="singleLevel"/>
    <w:tmpl w:val="3265B7C3"/>
    <w:lvl w:ilvl="0" w:tentative="0">
      <w:start w:val="1"/>
      <w:numFmt w:val="chineseCounting"/>
      <w:suff w:val="nothing"/>
      <w:lvlText w:val="%1、"/>
      <w:lvlJc w:val="left"/>
      <w:rPr>
        <w:rFonts w:hint="eastAsia"/>
      </w:rPr>
    </w:lvl>
  </w:abstractNum>
  <w:abstractNum w:abstractNumId="2">
    <w:nsid w:val="35A38603"/>
    <w:multiLevelType w:val="singleLevel"/>
    <w:tmpl w:val="35A3860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mNTI4Nzc5MDlhMDJlMGUxYmRlNjQ2ZTA5OGIzNTIifQ=="/>
    <w:docVar w:name="KSO_WPS_MARK_KEY" w:val="40b0d9d7-e02d-411a-97f3-944b7efe51bf"/>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0863"/>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0024"/>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4949"/>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6664C"/>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C7C1D"/>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0BDE"/>
    <w:rsid w:val="00FC12FE"/>
    <w:rsid w:val="00FC1489"/>
    <w:rsid w:val="00FC3441"/>
    <w:rsid w:val="00FD1ED3"/>
    <w:rsid w:val="00FD6C28"/>
    <w:rsid w:val="00FE1287"/>
    <w:rsid w:val="00FE310B"/>
    <w:rsid w:val="00FE39B9"/>
    <w:rsid w:val="00FE6AD7"/>
    <w:rsid w:val="00FF1BA9"/>
    <w:rsid w:val="00FF5290"/>
    <w:rsid w:val="00FF60DC"/>
    <w:rsid w:val="01714809"/>
    <w:rsid w:val="017D4F5C"/>
    <w:rsid w:val="019C3A88"/>
    <w:rsid w:val="02287D7E"/>
    <w:rsid w:val="02824A0C"/>
    <w:rsid w:val="029C37A6"/>
    <w:rsid w:val="030E6553"/>
    <w:rsid w:val="03101E00"/>
    <w:rsid w:val="034760DE"/>
    <w:rsid w:val="0352059C"/>
    <w:rsid w:val="03960557"/>
    <w:rsid w:val="03C84930"/>
    <w:rsid w:val="03DF7E09"/>
    <w:rsid w:val="03E5503B"/>
    <w:rsid w:val="03E67E90"/>
    <w:rsid w:val="03EA4D45"/>
    <w:rsid w:val="043613A4"/>
    <w:rsid w:val="04402271"/>
    <w:rsid w:val="045D1075"/>
    <w:rsid w:val="04615143"/>
    <w:rsid w:val="04706FFA"/>
    <w:rsid w:val="04754202"/>
    <w:rsid w:val="048320BB"/>
    <w:rsid w:val="04B563C2"/>
    <w:rsid w:val="04E20173"/>
    <w:rsid w:val="05453FE3"/>
    <w:rsid w:val="05531A54"/>
    <w:rsid w:val="05E53AA2"/>
    <w:rsid w:val="05F92C68"/>
    <w:rsid w:val="0620235A"/>
    <w:rsid w:val="063B5B32"/>
    <w:rsid w:val="06571B7A"/>
    <w:rsid w:val="06802D00"/>
    <w:rsid w:val="06B10ACD"/>
    <w:rsid w:val="06C25923"/>
    <w:rsid w:val="071D11C9"/>
    <w:rsid w:val="077111CE"/>
    <w:rsid w:val="0772575A"/>
    <w:rsid w:val="07DA3A8F"/>
    <w:rsid w:val="07E13D6B"/>
    <w:rsid w:val="08316975"/>
    <w:rsid w:val="08510EF1"/>
    <w:rsid w:val="089D7C92"/>
    <w:rsid w:val="08E6788B"/>
    <w:rsid w:val="08FC2ADE"/>
    <w:rsid w:val="09381617"/>
    <w:rsid w:val="09663A90"/>
    <w:rsid w:val="09BB7E2B"/>
    <w:rsid w:val="09C92DD3"/>
    <w:rsid w:val="09CF6E4B"/>
    <w:rsid w:val="0A811BB3"/>
    <w:rsid w:val="0AB4609E"/>
    <w:rsid w:val="0AC91212"/>
    <w:rsid w:val="0ADE415D"/>
    <w:rsid w:val="0B1D155E"/>
    <w:rsid w:val="0B7D60D6"/>
    <w:rsid w:val="0BD554C2"/>
    <w:rsid w:val="0BF12E85"/>
    <w:rsid w:val="0BF56037"/>
    <w:rsid w:val="0C113BDB"/>
    <w:rsid w:val="0C63073D"/>
    <w:rsid w:val="0C7318E1"/>
    <w:rsid w:val="0C801DA5"/>
    <w:rsid w:val="0C901A7D"/>
    <w:rsid w:val="0CCF6888"/>
    <w:rsid w:val="0CF960FB"/>
    <w:rsid w:val="0D0C188A"/>
    <w:rsid w:val="0D5B3431"/>
    <w:rsid w:val="0D5D5C42"/>
    <w:rsid w:val="0D7F10EF"/>
    <w:rsid w:val="0DD71E98"/>
    <w:rsid w:val="0E06452B"/>
    <w:rsid w:val="0E43752E"/>
    <w:rsid w:val="0EE32E18"/>
    <w:rsid w:val="0F121EF0"/>
    <w:rsid w:val="0F421526"/>
    <w:rsid w:val="101038B6"/>
    <w:rsid w:val="10196798"/>
    <w:rsid w:val="108B2ADA"/>
    <w:rsid w:val="11301FEB"/>
    <w:rsid w:val="11304CEB"/>
    <w:rsid w:val="114013AE"/>
    <w:rsid w:val="118916FB"/>
    <w:rsid w:val="11A7392F"/>
    <w:rsid w:val="11AF4DCB"/>
    <w:rsid w:val="11BD2408"/>
    <w:rsid w:val="11CB238C"/>
    <w:rsid w:val="11DF1890"/>
    <w:rsid w:val="12123D74"/>
    <w:rsid w:val="12237B08"/>
    <w:rsid w:val="126A6425"/>
    <w:rsid w:val="127C6B6A"/>
    <w:rsid w:val="127E6D86"/>
    <w:rsid w:val="12955111"/>
    <w:rsid w:val="12B427A8"/>
    <w:rsid w:val="12C54282"/>
    <w:rsid w:val="12CC6E6D"/>
    <w:rsid w:val="13806E42"/>
    <w:rsid w:val="13F56BD4"/>
    <w:rsid w:val="140E7482"/>
    <w:rsid w:val="14364D57"/>
    <w:rsid w:val="1440520B"/>
    <w:rsid w:val="14496F20"/>
    <w:rsid w:val="14654E7D"/>
    <w:rsid w:val="14737EE6"/>
    <w:rsid w:val="149063EC"/>
    <w:rsid w:val="15082937"/>
    <w:rsid w:val="151A0368"/>
    <w:rsid w:val="158346B4"/>
    <w:rsid w:val="15B50D11"/>
    <w:rsid w:val="15CA2436"/>
    <w:rsid w:val="16184994"/>
    <w:rsid w:val="16465E0D"/>
    <w:rsid w:val="16467BBB"/>
    <w:rsid w:val="165D6CB3"/>
    <w:rsid w:val="16AB5C70"/>
    <w:rsid w:val="16B94831"/>
    <w:rsid w:val="171071EA"/>
    <w:rsid w:val="174F62D6"/>
    <w:rsid w:val="17567CE5"/>
    <w:rsid w:val="175C51BC"/>
    <w:rsid w:val="17CA0378"/>
    <w:rsid w:val="17EE77F0"/>
    <w:rsid w:val="180F7034"/>
    <w:rsid w:val="183A0A1F"/>
    <w:rsid w:val="187A1D9E"/>
    <w:rsid w:val="188449CB"/>
    <w:rsid w:val="18D56A9E"/>
    <w:rsid w:val="18F602DF"/>
    <w:rsid w:val="18FC27B3"/>
    <w:rsid w:val="19006747"/>
    <w:rsid w:val="190525BE"/>
    <w:rsid w:val="19650358"/>
    <w:rsid w:val="196565AA"/>
    <w:rsid w:val="197113FE"/>
    <w:rsid w:val="198C1D89"/>
    <w:rsid w:val="199D6C9B"/>
    <w:rsid w:val="19C23937"/>
    <w:rsid w:val="1A342318"/>
    <w:rsid w:val="1A400CBF"/>
    <w:rsid w:val="1A8B2726"/>
    <w:rsid w:val="1A9E3268"/>
    <w:rsid w:val="1AA9566D"/>
    <w:rsid w:val="1AD0039B"/>
    <w:rsid w:val="1AE8348D"/>
    <w:rsid w:val="1AFC1190"/>
    <w:rsid w:val="1AFE6CB6"/>
    <w:rsid w:val="1B4437A3"/>
    <w:rsid w:val="1B74013C"/>
    <w:rsid w:val="1B7900EB"/>
    <w:rsid w:val="1B811F55"/>
    <w:rsid w:val="1BCA1848"/>
    <w:rsid w:val="1BCB4126"/>
    <w:rsid w:val="1BE539D2"/>
    <w:rsid w:val="1C652E9E"/>
    <w:rsid w:val="1C762227"/>
    <w:rsid w:val="1CD74ACF"/>
    <w:rsid w:val="1CDC3027"/>
    <w:rsid w:val="1CE974F2"/>
    <w:rsid w:val="1CF57C45"/>
    <w:rsid w:val="1CFA34AD"/>
    <w:rsid w:val="1D9F120E"/>
    <w:rsid w:val="1DB055BD"/>
    <w:rsid w:val="1E0D2BED"/>
    <w:rsid w:val="1E591AD6"/>
    <w:rsid w:val="1E622C59"/>
    <w:rsid w:val="1E674B72"/>
    <w:rsid w:val="1E6E343B"/>
    <w:rsid w:val="1E7B37A5"/>
    <w:rsid w:val="1EA44D1C"/>
    <w:rsid w:val="1EB0258C"/>
    <w:rsid w:val="1ECD2D49"/>
    <w:rsid w:val="1F14499E"/>
    <w:rsid w:val="1F5B26C7"/>
    <w:rsid w:val="1F5C044F"/>
    <w:rsid w:val="1FF450C0"/>
    <w:rsid w:val="203A4DF7"/>
    <w:rsid w:val="204326FB"/>
    <w:rsid w:val="20793160"/>
    <w:rsid w:val="208714FC"/>
    <w:rsid w:val="20E00C0C"/>
    <w:rsid w:val="21114778"/>
    <w:rsid w:val="21430A11"/>
    <w:rsid w:val="215A4BDB"/>
    <w:rsid w:val="217C0CE7"/>
    <w:rsid w:val="21962D82"/>
    <w:rsid w:val="219D221A"/>
    <w:rsid w:val="21AB33D9"/>
    <w:rsid w:val="223A41F0"/>
    <w:rsid w:val="224109E7"/>
    <w:rsid w:val="224F2695"/>
    <w:rsid w:val="227A6216"/>
    <w:rsid w:val="227E7DB1"/>
    <w:rsid w:val="22CA56D0"/>
    <w:rsid w:val="22EB689E"/>
    <w:rsid w:val="231A341A"/>
    <w:rsid w:val="2346744C"/>
    <w:rsid w:val="234F5BD5"/>
    <w:rsid w:val="235E2371"/>
    <w:rsid w:val="23697186"/>
    <w:rsid w:val="238A3C26"/>
    <w:rsid w:val="238B30B1"/>
    <w:rsid w:val="23B51EDC"/>
    <w:rsid w:val="24214F8F"/>
    <w:rsid w:val="248F38ED"/>
    <w:rsid w:val="249C2E00"/>
    <w:rsid w:val="24B147FA"/>
    <w:rsid w:val="24FE78B3"/>
    <w:rsid w:val="251F5A1E"/>
    <w:rsid w:val="257D1F44"/>
    <w:rsid w:val="259124D5"/>
    <w:rsid w:val="25B54415"/>
    <w:rsid w:val="260B04D9"/>
    <w:rsid w:val="265A320F"/>
    <w:rsid w:val="26B92D9B"/>
    <w:rsid w:val="26C07516"/>
    <w:rsid w:val="26DD358D"/>
    <w:rsid w:val="274160AD"/>
    <w:rsid w:val="27623B5F"/>
    <w:rsid w:val="27624129"/>
    <w:rsid w:val="27D72A06"/>
    <w:rsid w:val="27E70F59"/>
    <w:rsid w:val="27F62AEE"/>
    <w:rsid w:val="281C077C"/>
    <w:rsid w:val="283223CC"/>
    <w:rsid w:val="2866365B"/>
    <w:rsid w:val="28E50C7F"/>
    <w:rsid w:val="28EB2659"/>
    <w:rsid w:val="28EC345C"/>
    <w:rsid w:val="29202FD3"/>
    <w:rsid w:val="298F3464"/>
    <w:rsid w:val="2A44220C"/>
    <w:rsid w:val="2A4D2ACE"/>
    <w:rsid w:val="2AB14810"/>
    <w:rsid w:val="2ACD0A78"/>
    <w:rsid w:val="2AD3072D"/>
    <w:rsid w:val="2B0025D7"/>
    <w:rsid w:val="2B5D3585"/>
    <w:rsid w:val="2B6C7C6C"/>
    <w:rsid w:val="2BA507FA"/>
    <w:rsid w:val="2BBE7027"/>
    <w:rsid w:val="2BBF5FEE"/>
    <w:rsid w:val="2BDD6474"/>
    <w:rsid w:val="2BE4414D"/>
    <w:rsid w:val="2C0B54C5"/>
    <w:rsid w:val="2C292017"/>
    <w:rsid w:val="2C540D07"/>
    <w:rsid w:val="2C6375F7"/>
    <w:rsid w:val="2C8E3C12"/>
    <w:rsid w:val="2CAC4BA2"/>
    <w:rsid w:val="2CB35C78"/>
    <w:rsid w:val="2CDF446E"/>
    <w:rsid w:val="2CF23FA9"/>
    <w:rsid w:val="2CF40890"/>
    <w:rsid w:val="2D1719A4"/>
    <w:rsid w:val="2D2E420C"/>
    <w:rsid w:val="2D3B78F6"/>
    <w:rsid w:val="2DDE509E"/>
    <w:rsid w:val="2E2A1718"/>
    <w:rsid w:val="2E652751"/>
    <w:rsid w:val="2EDC6EB7"/>
    <w:rsid w:val="2F204A26"/>
    <w:rsid w:val="2F3045A4"/>
    <w:rsid w:val="2F567AA0"/>
    <w:rsid w:val="2FAE3FB1"/>
    <w:rsid w:val="30004E27"/>
    <w:rsid w:val="301645BB"/>
    <w:rsid w:val="30302844"/>
    <w:rsid w:val="30410981"/>
    <w:rsid w:val="30654C8A"/>
    <w:rsid w:val="309F5392"/>
    <w:rsid w:val="30B4367E"/>
    <w:rsid w:val="30DD02DC"/>
    <w:rsid w:val="30F524B2"/>
    <w:rsid w:val="313D3E0A"/>
    <w:rsid w:val="3149205F"/>
    <w:rsid w:val="315F16D9"/>
    <w:rsid w:val="3161171F"/>
    <w:rsid w:val="319A28B2"/>
    <w:rsid w:val="32696CB3"/>
    <w:rsid w:val="3276083D"/>
    <w:rsid w:val="329A3661"/>
    <w:rsid w:val="32CA771E"/>
    <w:rsid w:val="32D16C5C"/>
    <w:rsid w:val="330B6D05"/>
    <w:rsid w:val="339B19D0"/>
    <w:rsid w:val="33A960A0"/>
    <w:rsid w:val="33D043A5"/>
    <w:rsid w:val="33D600AF"/>
    <w:rsid w:val="33EE2317"/>
    <w:rsid w:val="33FE78CF"/>
    <w:rsid w:val="343706EB"/>
    <w:rsid w:val="34586FDF"/>
    <w:rsid w:val="34830C48"/>
    <w:rsid w:val="348C4016"/>
    <w:rsid w:val="34BF0E0C"/>
    <w:rsid w:val="34FE36A0"/>
    <w:rsid w:val="3508551A"/>
    <w:rsid w:val="35523A2F"/>
    <w:rsid w:val="355A0B35"/>
    <w:rsid w:val="35841C19"/>
    <w:rsid w:val="359C0F7A"/>
    <w:rsid w:val="35A900B2"/>
    <w:rsid w:val="35CB5FBA"/>
    <w:rsid w:val="35DF47C9"/>
    <w:rsid w:val="35E113E3"/>
    <w:rsid w:val="360A4309"/>
    <w:rsid w:val="362759D7"/>
    <w:rsid w:val="36FB18C7"/>
    <w:rsid w:val="370B120F"/>
    <w:rsid w:val="3725656C"/>
    <w:rsid w:val="37757EA8"/>
    <w:rsid w:val="37776170"/>
    <w:rsid w:val="37781747"/>
    <w:rsid w:val="37847CCD"/>
    <w:rsid w:val="378B37C3"/>
    <w:rsid w:val="379A7F64"/>
    <w:rsid w:val="37C001F2"/>
    <w:rsid w:val="37CD2E49"/>
    <w:rsid w:val="37E1553E"/>
    <w:rsid w:val="37F708BD"/>
    <w:rsid w:val="38044D88"/>
    <w:rsid w:val="380543FC"/>
    <w:rsid w:val="381C1DAF"/>
    <w:rsid w:val="382B35B4"/>
    <w:rsid w:val="384C426B"/>
    <w:rsid w:val="38E946AA"/>
    <w:rsid w:val="391F2E54"/>
    <w:rsid w:val="3941563D"/>
    <w:rsid w:val="39423DBA"/>
    <w:rsid w:val="39665CFB"/>
    <w:rsid w:val="39994758"/>
    <w:rsid w:val="39D7342E"/>
    <w:rsid w:val="3A045513"/>
    <w:rsid w:val="3A5E423D"/>
    <w:rsid w:val="3AE332B3"/>
    <w:rsid w:val="3B071D45"/>
    <w:rsid w:val="3B136ADE"/>
    <w:rsid w:val="3B2E2790"/>
    <w:rsid w:val="3B8331C0"/>
    <w:rsid w:val="3BA725FA"/>
    <w:rsid w:val="3BB54959"/>
    <w:rsid w:val="3C497E28"/>
    <w:rsid w:val="3C4B11D8"/>
    <w:rsid w:val="3C4F6F1A"/>
    <w:rsid w:val="3C504816"/>
    <w:rsid w:val="3C8C247C"/>
    <w:rsid w:val="3CC66AB0"/>
    <w:rsid w:val="3CD016DD"/>
    <w:rsid w:val="3D276890"/>
    <w:rsid w:val="3D514278"/>
    <w:rsid w:val="3D624A2B"/>
    <w:rsid w:val="3D65545B"/>
    <w:rsid w:val="3DD376D7"/>
    <w:rsid w:val="3DFB2CDF"/>
    <w:rsid w:val="3DFC0228"/>
    <w:rsid w:val="3E124D83"/>
    <w:rsid w:val="3E200906"/>
    <w:rsid w:val="3E545486"/>
    <w:rsid w:val="3E68129D"/>
    <w:rsid w:val="3E770A56"/>
    <w:rsid w:val="3E7C6D69"/>
    <w:rsid w:val="3E7F160D"/>
    <w:rsid w:val="3E9B2376"/>
    <w:rsid w:val="3EB83A8B"/>
    <w:rsid w:val="3EE51A3E"/>
    <w:rsid w:val="3EF20030"/>
    <w:rsid w:val="3F4D512E"/>
    <w:rsid w:val="3F79189D"/>
    <w:rsid w:val="3F874C1D"/>
    <w:rsid w:val="3FA119B7"/>
    <w:rsid w:val="3FC96FE3"/>
    <w:rsid w:val="3FE32777"/>
    <w:rsid w:val="400D3374"/>
    <w:rsid w:val="40177DE3"/>
    <w:rsid w:val="40371D16"/>
    <w:rsid w:val="407A192C"/>
    <w:rsid w:val="4093098F"/>
    <w:rsid w:val="40D3768B"/>
    <w:rsid w:val="40E35C98"/>
    <w:rsid w:val="4110479E"/>
    <w:rsid w:val="417A1877"/>
    <w:rsid w:val="4186089B"/>
    <w:rsid w:val="42654E02"/>
    <w:rsid w:val="427C0258"/>
    <w:rsid w:val="42EF614C"/>
    <w:rsid w:val="43212C92"/>
    <w:rsid w:val="432253DD"/>
    <w:rsid w:val="432E715D"/>
    <w:rsid w:val="43863DDA"/>
    <w:rsid w:val="43D011EA"/>
    <w:rsid w:val="43FE4D82"/>
    <w:rsid w:val="44127405"/>
    <w:rsid w:val="441477C8"/>
    <w:rsid w:val="442364AE"/>
    <w:rsid w:val="444035EC"/>
    <w:rsid w:val="444939F2"/>
    <w:rsid w:val="444C01E3"/>
    <w:rsid w:val="44557E80"/>
    <w:rsid w:val="445B1AA2"/>
    <w:rsid w:val="4473408E"/>
    <w:rsid w:val="450308A1"/>
    <w:rsid w:val="450E5C39"/>
    <w:rsid w:val="454F361F"/>
    <w:rsid w:val="45551365"/>
    <w:rsid w:val="45CD35FE"/>
    <w:rsid w:val="45CD7101"/>
    <w:rsid w:val="461D2940"/>
    <w:rsid w:val="46432A96"/>
    <w:rsid w:val="46484442"/>
    <w:rsid w:val="46501852"/>
    <w:rsid w:val="466C2476"/>
    <w:rsid w:val="47354F5E"/>
    <w:rsid w:val="475B66AF"/>
    <w:rsid w:val="476F66C2"/>
    <w:rsid w:val="47867568"/>
    <w:rsid w:val="47B01446"/>
    <w:rsid w:val="47CC27EE"/>
    <w:rsid w:val="47D273C0"/>
    <w:rsid w:val="47F95F8C"/>
    <w:rsid w:val="480C3F11"/>
    <w:rsid w:val="482809DA"/>
    <w:rsid w:val="4881312E"/>
    <w:rsid w:val="48965ED0"/>
    <w:rsid w:val="489B5295"/>
    <w:rsid w:val="48C447EC"/>
    <w:rsid w:val="491E1806"/>
    <w:rsid w:val="49575660"/>
    <w:rsid w:val="495E7B70"/>
    <w:rsid w:val="496B47B7"/>
    <w:rsid w:val="4A0B7731"/>
    <w:rsid w:val="4A21248F"/>
    <w:rsid w:val="4A63245A"/>
    <w:rsid w:val="4A9A751F"/>
    <w:rsid w:val="4AB8212E"/>
    <w:rsid w:val="4AC05A5A"/>
    <w:rsid w:val="4AE10089"/>
    <w:rsid w:val="4B022328"/>
    <w:rsid w:val="4B15132F"/>
    <w:rsid w:val="4B384AFB"/>
    <w:rsid w:val="4B3A3DE4"/>
    <w:rsid w:val="4B6217B9"/>
    <w:rsid w:val="4B701FD3"/>
    <w:rsid w:val="4B77032C"/>
    <w:rsid w:val="4BCA4DC2"/>
    <w:rsid w:val="4BD125AC"/>
    <w:rsid w:val="4BD340D8"/>
    <w:rsid w:val="4C044CA2"/>
    <w:rsid w:val="4C2B6930"/>
    <w:rsid w:val="4C360546"/>
    <w:rsid w:val="4C51545C"/>
    <w:rsid w:val="4C983286"/>
    <w:rsid w:val="4CD6552E"/>
    <w:rsid w:val="4CE4720A"/>
    <w:rsid w:val="4CFF75D5"/>
    <w:rsid w:val="4D080842"/>
    <w:rsid w:val="4D1F2012"/>
    <w:rsid w:val="4D8D65E2"/>
    <w:rsid w:val="4DAE5F5E"/>
    <w:rsid w:val="4DF60D20"/>
    <w:rsid w:val="4E45017D"/>
    <w:rsid w:val="4E6B5729"/>
    <w:rsid w:val="4EA404FD"/>
    <w:rsid w:val="4EBE3A8B"/>
    <w:rsid w:val="4FA56487"/>
    <w:rsid w:val="4FA9473B"/>
    <w:rsid w:val="4FC44EDC"/>
    <w:rsid w:val="4FCA1BB7"/>
    <w:rsid w:val="4FF051A0"/>
    <w:rsid w:val="4FFA00C2"/>
    <w:rsid w:val="50141FA4"/>
    <w:rsid w:val="507506FE"/>
    <w:rsid w:val="50AF18DD"/>
    <w:rsid w:val="50D954C3"/>
    <w:rsid w:val="50FE2791"/>
    <w:rsid w:val="51057A2C"/>
    <w:rsid w:val="515210A3"/>
    <w:rsid w:val="51752B27"/>
    <w:rsid w:val="51AE1584"/>
    <w:rsid w:val="51B51175"/>
    <w:rsid w:val="51D61265"/>
    <w:rsid w:val="520B348B"/>
    <w:rsid w:val="52360995"/>
    <w:rsid w:val="52554706"/>
    <w:rsid w:val="52950FA7"/>
    <w:rsid w:val="52B4767F"/>
    <w:rsid w:val="52C12FB4"/>
    <w:rsid w:val="52D65A4D"/>
    <w:rsid w:val="53307DE8"/>
    <w:rsid w:val="535B5D4C"/>
    <w:rsid w:val="53866EE0"/>
    <w:rsid w:val="538F587F"/>
    <w:rsid w:val="544E2FF3"/>
    <w:rsid w:val="54791DE5"/>
    <w:rsid w:val="54BD0670"/>
    <w:rsid w:val="551C55B1"/>
    <w:rsid w:val="55540DB3"/>
    <w:rsid w:val="55807CEC"/>
    <w:rsid w:val="55BB0FC4"/>
    <w:rsid w:val="55D63612"/>
    <w:rsid w:val="564E3947"/>
    <w:rsid w:val="567F7FA4"/>
    <w:rsid w:val="56C113D0"/>
    <w:rsid w:val="56CB143B"/>
    <w:rsid w:val="56D56727"/>
    <w:rsid w:val="56E83D9B"/>
    <w:rsid w:val="56EF35DE"/>
    <w:rsid w:val="56F73FDE"/>
    <w:rsid w:val="57A2219C"/>
    <w:rsid w:val="57B27F05"/>
    <w:rsid w:val="57DF1880"/>
    <w:rsid w:val="57E05BE1"/>
    <w:rsid w:val="58346A24"/>
    <w:rsid w:val="585B059D"/>
    <w:rsid w:val="5898534D"/>
    <w:rsid w:val="58F72073"/>
    <w:rsid w:val="59464DA9"/>
    <w:rsid w:val="59582D13"/>
    <w:rsid w:val="59654F1B"/>
    <w:rsid w:val="59F82547"/>
    <w:rsid w:val="5A4716C0"/>
    <w:rsid w:val="5A4A08C9"/>
    <w:rsid w:val="5A592B81"/>
    <w:rsid w:val="5A601E9A"/>
    <w:rsid w:val="5A637F59"/>
    <w:rsid w:val="5A8E6B50"/>
    <w:rsid w:val="5AE859CD"/>
    <w:rsid w:val="5B526E3B"/>
    <w:rsid w:val="5B7F52B4"/>
    <w:rsid w:val="5C146454"/>
    <w:rsid w:val="5C8D47B8"/>
    <w:rsid w:val="5D176670"/>
    <w:rsid w:val="5D355860"/>
    <w:rsid w:val="5D635F29"/>
    <w:rsid w:val="5DB42246"/>
    <w:rsid w:val="5DBC1ADE"/>
    <w:rsid w:val="5DE442A1"/>
    <w:rsid w:val="5E0D2C7D"/>
    <w:rsid w:val="5E2C755E"/>
    <w:rsid w:val="5E4A6AF2"/>
    <w:rsid w:val="5EFB5FCF"/>
    <w:rsid w:val="5F185E67"/>
    <w:rsid w:val="5F4E6765"/>
    <w:rsid w:val="5F912EFC"/>
    <w:rsid w:val="5FA752A4"/>
    <w:rsid w:val="5FB966D4"/>
    <w:rsid w:val="5FD0312C"/>
    <w:rsid w:val="5FF94273"/>
    <w:rsid w:val="60032F94"/>
    <w:rsid w:val="60033B95"/>
    <w:rsid w:val="600F4147"/>
    <w:rsid w:val="60532394"/>
    <w:rsid w:val="605C4EB2"/>
    <w:rsid w:val="609346F9"/>
    <w:rsid w:val="60976762"/>
    <w:rsid w:val="60E87DCD"/>
    <w:rsid w:val="615674ED"/>
    <w:rsid w:val="619C4373"/>
    <w:rsid w:val="62202150"/>
    <w:rsid w:val="62255EA3"/>
    <w:rsid w:val="62391AF7"/>
    <w:rsid w:val="629B6165"/>
    <w:rsid w:val="62FC28B2"/>
    <w:rsid w:val="633F11E7"/>
    <w:rsid w:val="635001EF"/>
    <w:rsid w:val="637048DB"/>
    <w:rsid w:val="63D0272B"/>
    <w:rsid w:val="64166DAD"/>
    <w:rsid w:val="64834717"/>
    <w:rsid w:val="64AA146F"/>
    <w:rsid w:val="64F629E2"/>
    <w:rsid w:val="650B1EAB"/>
    <w:rsid w:val="65335497"/>
    <w:rsid w:val="65431800"/>
    <w:rsid w:val="654A7869"/>
    <w:rsid w:val="65841133"/>
    <w:rsid w:val="659956F1"/>
    <w:rsid w:val="65D379C4"/>
    <w:rsid w:val="65D76172"/>
    <w:rsid w:val="66C77325"/>
    <w:rsid w:val="66CE3288"/>
    <w:rsid w:val="678673E4"/>
    <w:rsid w:val="679715F1"/>
    <w:rsid w:val="684D3A5E"/>
    <w:rsid w:val="68686AEA"/>
    <w:rsid w:val="68931D4F"/>
    <w:rsid w:val="689659F3"/>
    <w:rsid w:val="68996CA3"/>
    <w:rsid w:val="68C33D20"/>
    <w:rsid w:val="68C6406F"/>
    <w:rsid w:val="691B590A"/>
    <w:rsid w:val="69205616"/>
    <w:rsid w:val="69270753"/>
    <w:rsid w:val="69A91168"/>
    <w:rsid w:val="69CB37D4"/>
    <w:rsid w:val="69D501AF"/>
    <w:rsid w:val="6A1638AD"/>
    <w:rsid w:val="6A3944D6"/>
    <w:rsid w:val="6A411797"/>
    <w:rsid w:val="6B3C0F88"/>
    <w:rsid w:val="6B4551DF"/>
    <w:rsid w:val="6B8D733F"/>
    <w:rsid w:val="6B9E2823"/>
    <w:rsid w:val="6BBD714D"/>
    <w:rsid w:val="6BC90267"/>
    <w:rsid w:val="6BC935EB"/>
    <w:rsid w:val="6C0134DD"/>
    <w:rsid w:val="6C1D59BA"/>
    <w:rsid w:val="6C2C6080"/>
    <w:rsid w:val="6C865790"/>
    <w:rsid w:val="6C992C34"/>
    <w:rsid w:val="6CA95923"/>
    <w:rsid w:val="6CDF45CD"/>
    <w:rsid w:val="6D2C27DC"/>
    <w:rsid w:val="6D3F2110"/>
    <w:rsid w:val="6D7418A4"/>
    <w:rsid w:val="6D756958"/>
    <w:rsid w:val="6DCF760B"/>
    <w:rsid w:val="6DEA61F3"/>
    <w:rsid w:val="6E1C2F95"/>
    <w:rsid w:val="6E25722B"/>
    <w:rsid w:val="6E2A38BB"/>
    <w:rsid w:val="6E3B0A20"/>
    <w:rsid w:val="6F046E40"/>
    <w:rsid w:val="6F060FC5"/>
    <w:rsid w:val="6F4436E1"/>
    <w:rsid w:val="6FB46AB9"/>
    <w:rsid w:val="70227EC6"/>
    <w:rsid w:val="702C43E6"/>
    <w:rsid w:val="704D41BE"/>
    <w:rsid w:val="705F6805"/>
    <w:rsid w:val="709754C7"/>
    <w:rsid w:val="71035C45"/>
    <w:rsid w:val="711835B9"/>
    <w:rsid w:val="71542301"/>
    <w:rsid w:val="718323E3"/>
    <w:rsid w:val="718B3849"/>
    <w:rsid w:val="719A58E8"/>
    <w:rsid w:val="725C51D2"/>
    <w:rsid w:val="72C464D5"/>
    <w:rsid w:val="72E90ED3"/>
    <w:rsid w:val="73243B96"/>
    <w:rsid w:val="734D5BB3"/>
    <w:rsid w:val="73663647"/>
    <w:rsid w:val="7377015A"/>
    <w:rsid w:val="73966C01"/>
    <w:rsid w:val="739D2BFF"/>
    <w:rsid w:val="73B77D0C"/>
    <w:rsid w:val="73C37269"/>
    <w:rsid w:val="73F25D2E"/>
    <w:rsid w:val="74027DBB"/>
    <w:rsid w:val="746F6794"/>
    <w:rsid w:val="74856C75"/>
    <w:rsid w:val="752419D7"/>
    <w:rsid w:val="7526130E"/>
    <w:rsid w:val="75276C4C"/>
    <w:rsid w:val="75A62E64"/>
    <w:rsid w:val="75B4228D"/>
    <w:rsid w:val="75BB53FD"/>
    <w:rsid w:val="75E96582"/>
    <w:rsid w:val="75EE331A"/>
    <w:rsid w:val="764531F5"/>
    <w:rsid w:val="76466B91"/>
    <w:rsid w:val="76470CAA"/>
    <w:rsid w:val="764D1082"/>
    <w:rsid w:val="76696582"/>
    <w:rsid w:val="766F2799"/>
    <w:rsid w:val="76992564"/>
    <w:rsid w:val="76BF021D"/>
    <w:rsid w:val="76F123A0"/>
    <w:rsid w:val="76FC63AD"/>
    <w:rsid w:val="76FD0D45"/>
    <w:rsid w:val="77132317"/>
    <w:rsid w:val="772C5186"/>
    <w:rsid w:val="773B6256"/>
    <w:rsid w:val="774C0D1D"/>
    <w:rsid w:val="7768617D"/>
    <w:rsid w:val="776D5ECB"/>
    <w:rsid w:val="77D55B0E"/>
    <w:rsid w:val="77E837A3"/>
    <w:rsid w:val="77EB6934"/>
    <w:rsid w:val="780B7492"/>
    <w:rsid w:val="782263B1"/>
    <w:rsid w:val="78CE2999"/>
    <w:rsid w:val="79197DDA"/>
    <w:rsid w:val="792C0FD8"/>
    <w:rsid w:val="796E2148"/>
    <w:rsid w:val="79AA25BE"/>
    <w:rsid w:val="79D745FF"/>
    <w:rsid w:val="7A3C0663"/>
    <w:rsid w:val="7A716DAA"/>
    <w:rsid w:val="7AB3715F"/>
    <w:rsid w:val="7AC758F2"/>
    <w:rsid w:val="7AE45D36"/>
    <w:rsid w:val="7AE77D42"/>
    <w:rsid w:val="7BA45C33"/>
    <w:rsid w:val="7BB25107"/>
    <w:rsid w:val="7BFB1265"/>
    <w:rsid w:val="7C6F4493"/>
    <w:rsid w:val="7CFD1A9F"/>
    <w:rsid w:val="7D07233B"/>
    <w:rsid w:val="7D1B6488"/>
    <w:rsid w:val="7D40391F"/>
    <w:rsid w:val="7D945CD3"/>
    <w:rsid w:val="7DD722F0"/>
    <w:rsid w:val="7DD81BC4"/>
    <w:rsid w:val="7DF96BCA"/>
    <w:rsid w:val="7E1251F4"/>
    <w:rsid w:val="7E1C2E5A"/>
    <w:rsid w:val="7E1C41A7"/>
    <w:rsid w:val="7E357016"/>
    <w:rsid w:val="7E6416AA"/>
    <w:rsid w:val="7EE66F59"/>
    <w:rsid w:val="7F194DAD"/>
    <w:rsid w:val="7F1A6E76"/>
    <w:rsid w:val="7F1F783D"/>
    <w:rsid w:val="7F531E4A"/>
    <w:rsid w:val="7FAF396D"/>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1"/>
    <w:basedOn w:val="1"/>
    <w:next w:val="1"/>
    <w:qFormat/>
    <w:uiPriority w:val="1"/>
    <w:pPr>
      <w:keepNext/>
      <w:keepLines/>
      <w:spacing w:before="340" w:after="330" w:line="576" w:lineRule="auto"/>
      <w:outlineLvl w:val="0"/>
    </w:pPr>
    <w:rPr>
      <w:b/>
      <w:kern w:val="44"/>
      <w:sz w:val="44"/>
    </w:rPr>
  </w:style>
  <w:style w:type="paragraph" w:styleId="3">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4">
    <w:name w:val="heading 3"/>
    <w:basedOn w:val="1"/>
    <w:next w:val="1"/>
    <w:unhideWhenUsed/>
    <w:qFormat/>
    <w:uiPriority w:val="1"/>
    <w:pPr>
      <w:keepNext/>
      <w:keepLines/>
      <w:spacing w:before="260" w:after="260" w:line="413" w:lineRule="auto"/>
      <w:outlineLvl w:val="2"/>
    </w:pPr>
    <w:rPr>
      <w:b/>
      <w:sz w:val="32"/>
    </w:rPr>
  </w:style>
  <w:style w:type="paragraph" w:styleId="5">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spacing w:line="360" w:lineRule="auto"/>
      <w:ind w:firstLine="420" w:firstLineChars="200"/>
      <w:jc w:val="left"/>
    </w:pPr>
    <w:rPr>
      <w:rFonts w:ascii="仿宋_GB2312" w:hAnsi="Arial" w:eastAsia="仿宋_GB2312"/>
      <w:kern w:val="0"/>
      <w:sz w:val="30"/>
      <w:szCs w:val="30"/>
    </w:rPr>
  </w:style>
  <w:style w:type="paragraph" w:styleId="8">
    <w:name w:val="Body Text"/>
    <w:basedOn w:val="1"/>
    <w:link w:val="34"/>
    <w:unhideWhenUsed/>
    <w:qFormat/>
    <w:uiPriority w:val="1"/>
    <w:pPr>
      <w:spacing w:after="120"/>
    </w:pPr>
  </w:style>
  <w:style w:type="paragraph" w:styleId="9">
    <w:name w:val="annotation text"/>
    <w:basedOn w:val="1"/>
    <w:link w:val="26"/>
    <w:unhideWhenUsed/>
    <w:qFormat/>
    <w:uiPriority w:val="99"/>
    <w:pPr>
      <w:jc w:val="left"/>
    </w:pPr>
  </w:style>
  <w:style w:type="paragraph" w:styleId="10">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11">
    <w:name w:val="Balloon Text"/>
    <w:basedOn w:val="1"/>
    <w:link w:val="3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5">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6">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7">
    <w:name w:val="annotation subject"/>
    <w:basedOn w:val="9"/>
    <w:next w:val="9"/>
    <w:link w:val="27"/>
    <w:semiHidden/>
    <w:unhideWhenUsed/>
    <w:qFormat/>
    <w:uiPriority w:val="99"/>
    <w:rPr>
      <w:b/>
      <w:bCs/>
    </w:rPr>
  </w:style>
  <w:style w:type="paragraph" w:styleId="18">
    <w:name w:val="Body Text First Indent 2"/>
    <w:basedOn w:val="10"/>
    <w:qFormat/>
    <w:uiPriority w:val="0"/>
    <w:pPr>
      <w:ind w:firstLine="420"/>
    </w:p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3"/>
    <w:qFormat/>
    <w:uiPriority w:val="99"/>
    <w:rPr>
      <w:sz w:val="18"/>
      <w:szCs w:val="18"/>
    </w:rPr>
  </w:style>
  <w:style w:type="character" w:customStyle="1" w:styleId="25">
    <w:name w:val="页脚 Char"/>
    <w:basedOn w:val="21"/>
    <w:link w:val="12"/>
    <w:qFormat/>
    <w:uiPriority w:val="99"/>
    <w:rPr>
      <w:sz w:val="18"/>
      <w:szCs w:val="18"/>
    </w:rPr>
  </w:style>
  <w:style w:type="character" w:customStyle="1" w:styleId="26">
    <w:name w:val="批注文字 Char"/>
    <w:basedOn w:val="21"/>
    <w:link w:val="9"/>
    <w:qFormat/>
    <w:uiPriority w:val="99"/>
    <w:rPr>
      <w:rFonts w:ascii="Times New Roman" w:hAnsi="Times New Roman" w:eastAsia="Courier New" w:cs="Times New Roman"/>
      <w:szCs w:val="21"/>
    </w:rPr>
  </w:style>
  <w:style w:type="character" w:customStyle="1" w:styleId="27">
    <w:name w:val="批注主题 Char"/>
    <w:basedOn w:val="26"/>
    <w:link w:val="17"/>
    <w:semiHidden/>
    <w:qFormat/>
    <w:uiPriority w:val="99"/>
    <w:rPr>
      <w:rFonts w:ascii="Times New Roman" w:hAnsi="Times New Roman" w:eastAsia="Courier New" w:cs="Times New Roman"/>
      <w:b/>
      <w:bCs/>
      <w:szCs w:val="21"/>
    </w:rPr>
  </w:style>
  <w:style w:type="paragraph" w:customStyle="1" w:styleId="28">
    <w:name w:val="独立格式"/>
    <w:basedOn w:val="15"/>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5"/>
    <w:qFormat/>
    <w:uiPriority w:val="11"/>
    <w:rPr>
      <w:b/>
      <w:bCs/>
      <w:kern w:val="28"/>
      <w:sz w:val="32"/>
      <w:szCs w:val="32"/>
    </w:rPr>
  </w:style>
  <w:style w:type="character" w:customStyle="1" w:styleId="30">
    <w:name w:val="标题 2 Char"/>
    <w:basedOn w:val="21"/>
    <w:link w:val="3"/>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6"/>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8"/>
    <w:semiHidden/>
    <w:qFormat/>
    <w:uiPriority w:val="99"/>
    <w:rPr>
      <w:rFonts w:ascii="Times New Roman" w:hAnsi="Times New Roman" w:eastAsia="Courier New" w:cs="Times New Roman"/>
      <w:szCs w:val="21"/>
    </w:rPr>
  </w:style>
  <w:style w:type="character" w:customStyle="1" w:styleId="35">
    <w:name w:val="标题 4 Char"/>
    <w:basedOn w:val="21"/>
    <w:link w:val="5"/>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1"/>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2425"/>
          <c:y val="0.17265"/>
          <c:w val="0.50215"/>
          <c:h val="0.669533333333333"/>
        </c:manualLayout>
      </c:layout>
      <c:pieChart>
        <c:varyColors val="1"/>
        <c:ser>
          <c:idx val="0"/>
          <c:order val="0"/>
          <c:tx>
            <c:strRef>
              <c:f>Sheet1!$B$1</c:f>
              <c:strCache>
                <c:ptCount val="1"/>
                <c:pt idx="0">
                  <c:v>预算收入</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122347717525209"/>
                  <c:y val="-0.04881103392998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936267237081435"/>
                  <c:y val="-0.03513087927058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本年度一般公共预算收入</c:v>
                </c:pt>
                <c:pt idx="1">
                  <c:v>本年度事业收入</c:v>
                </c:pt>
                <c:pt idx="2">
                  <c:v>上年结转结余一般公共预算收入</c:v>
                </c:pt>
              </c:strCache>
            </c:strRef>
          </c:cat>
          <c:val>
            <c:numRef>
              <c:f>Sheet1!$B$2:$B$4</c:f>
              <c:numCache>
                <c:formatCode>General</c:formatCode>
                <c:ptCount val="3"/>
                <c:pt idx="0">
                  <c:v>13964.4</c:v>
                </c:pt>
                <c:pt idx="1">
                  <c:v>323522.76</c:v>
                </c:pt>
                <c:pt idx="2">
                  <c:v>5300.33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8097aa7-cd01-41a4-8495-497ad334251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预算支出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601847829673869"/>
                  <c:y val="-0.142669427097137"/>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151625"/>
                      <c:h val="0.16591086786552"/>
                    </c:manualLayout>
                  </c15:layout>
                </c:ext>
              </c:extLst>
            </c:dLbl>
            <c:dLbl>
              <c:idx val="1"/>
              <c:layout>
                <c:manualLayout>
                  <c:x val="-0.120208870127343"/>
                  <c:y val="0"/>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301"/>
                      <c:h val="0.0659890539483972"/>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333870.9</c:v>
                </c:pt>
                <c:pt idx="1">
                  <c:v>8916.59</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777fd88b-f379-4124-bc51-dde72bbe990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7340</Words>
  <Characters>8101</Characters>
  <Lines>246</Lines>
  <Paragraphs>69</Paragraphs>
  <TotalTime>6</TotalTime>
  <ScaleCrop>false</ScaleCrop>
  <LinksUpToDate>false</LinksUpToDate>
  <CharactersWithSpaces>8223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吴皆明</cp:lastModifiedBy>
  <cp:lastPrinted>2023-01-16T08:04:00Z</cp:lastPrinted>
  <dcterms:modified xsi:type="dcterms:W3CDTF">2026-03-10T03:09:40Z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8DD366CB6A5A4CCD9A32B0F522B6DD0C_13</vt:lpwstr>
  </property>
  <property fmtid="{D5CDD505-2E9C-101B-9397-08002B2CF9AE}" pid="4" name="KSOTemplateDocerSaveRecord">
    <vt:lpwstr>eyJoZGlkIjoiMDNmNTI4Nzc5MDlhMDJlMGUxYmRlNjQ2ZTA5OGIzNTIiLCJ1c2VySWQiOiIyNDA2NTg1NDkifQ==</vt:lpwstr>
  </property>
</Properties>
</file>