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FF727">
      <w:pPr>
        <w:jc w:val="center"/>
        <w:rPr>
          <w:rFonts w:eastAsia="黑体" w:cs="宋体"/>
          <w:b/>
          <w:color w:val="auto"/>
          <w:sz w:val="52"/>
          <w:szCs w:val="52"/>
          <w:highlight w:val="none"/>
          <w:u w:val="none"/>
        </w:rPr>
      </w:pPr>
    </w:p>
    <w:p w14:paraId="551B603A">
      <w:pPr>
        <w:jc w:val="center"/>
        <w:rPr>
          <w:rFonts w:eastAsia="黑体" w:cs="宋体"/>
          <w:b/>
          <w:color w:val="auto"/>
          <w:sz w:val="52"/>
          <w:szCs w:val="52"/>
          <w:highlight w:val="none"/>
          <w:u w:val="none"/>
        </w:rPr>
      </w:pPr>
    </w:p>
    <w:p w14:paraId="1E28567E">
      <w:pPr>
        <w:spacing w:line="600" w:lineRule="exact"/>
        <w:jc w:val="left"/>
        <w:rPr>
          <w:rFonts w:ascii="Arial" w:hAnsi="Arial" w:eastAsia="Symbol"/>
          <w:b/>
          <w:bCs/>
          <w:color w:val="auto"/>
          <w:sz w:val="32"/>
          <w:szCs w:val="32"/>
          <w:highlight w:val="none"/>
          <w:u w:val="none"/>
        </w:rPr>
      </w:pPr>
    </w:p>
    <w:p w14:paraId="3463F91D">
      <w:pPr>
        <w:pStyle w:val="18"/>
        <w:rPr>
          <w:rFonts w:hint="default"/>
          <w:color w:val="auto"/>
          <w:highlight w:val="none"/>
          <w:u w:val="none"/>
        </w:rPr>
      </w:pPr>
    </w:p>
    <w:p w14:paraId="6832D57D">
      <w:pPr>
        <w:spacing w:line="600" w:lineRule="exact"/>
        <w:jc w:val="center"/>
        <w:rPr>
          <w:rFonts w:ascii="Arial" w:hAnsi="Arial" w:eastAsia="宋体"/>
          <w:b/>
          <w:bCs/>
          <w:color w:val="auto"/>
          <w:sz w:val="32"/>
          <w:szCs w:val="32"/>
          <w:highlight w:val="none"/>
          <w:u w:val="none"/>
        </w:rPr>
      </w:pPr>
    </w:p>
    <w:p w14:paraId="1D27E668">
      <w:pPr>
        <w:spacing w:line="600" w:lineRule="exact"/>
        <w:jc w:val="center"/>
        <w:rPr>
          <w:rFonts w:hint="eastAsia" w:ascii="方正小标宋简体" w:hAnsi="方正小标宋简体" w:eastAsia="方正小标宋简体" w:cs="方正小标宋简体"/>
          <w:color w:val="auto"/>
          <w:sz w:val="44"/>
          <w:szCs w:val="44"/>
          <w:highlight w:val="none"/>
          <w:u w:val="none"/>
          <w:lang w:val="en-US" w:eastAsia="zh-CN"/>
        </w:rPr>
      </w:pPr>
    </w:p>
    <w:p w14:paraId="354D0F63">
      <w:pPr>
        <w:keepNext w:val="0"/>
        <w:keepLines w:val="0"/>
        <w:pageBreakBefore w:val="0"/>
        <w:widowControl w:val="0"/>
        <w:kinsoku/>
        <w:wordWrap/>
        <w:overflowPunct/>
        <w:topLinePunct w:val="0"/>
        <w:autoSpaceDE/>
        <w:autoSpaceDN/>
        <w:bidi w:val="0"/>
        <w:spacing w:line="480" w:lineRule="auto"/>
        <w:jc w:val="center"/>
        <w:textAlignment w:val="auto"/>
        <w:rPr>
          <w:rFonts w:hint="default" w:ascii="方正小标宋简体" w:hAnsi="方正小标宋简体" w:eastAsia="方正小标宋简体" w:cs="方正小标宋简体"/>
          <w:b/>
          <w:bCs/>
          <w:color w:val="auto"/>
          <w:sz w:val="44"/>
          <w:szCs w:val="44"/>
          <w:highlight w:val="none"/>
          <w:u w:val="none"/>
          <w:lang w:val="en-US" w:eastAsia="zh-CN"/>
        </w:rPr>
      </w:pPr>
      <w:r>
        <w:rPr>
          <w:rFonts w:hint="eastAsia" w:ascii="方正小标宋简体" w:hAnsi="方正小标宋简体" w:eastAsia="方正小标宋简体" w:cs="方正小标宋简体"/>
          <w:b/>
          <w:bCs/>
          <w:color w:val="auto"/>
          <w:sz w:val="44"/>
          <w:szCs w:val="44"/>
          <w:highlight w:val="none"/>
          <w:u w:val="none"/>
          <w:lang w:val="en-US" w:eastAsia="zh-CN"/>
        </w:rPr>
        <w:t>内蒙古医科大学附属医院</w:t>
      </w:r>
    </w:p>
    <w:p w14:paraId="5932E67B">
      <w:pPr>
        <w:keepNext w:val="0"/>
        <w:keepLines w:val="0"/>
        <w:pageBreakBefore w:val="0"/>
        <w:widowControl w:val="0"/>
        <w:kinsoku/>
        <w:wordWrap/>
        <w:overflowPunct/>
        <w:topLinePunct w:val="0"/>
        <w:autoSpaceDE/>
        <w:autoSpaceDN/>
        <w:bidi w:val="0"/>
        <w:spacing w:line="480" w:lineRule="auto"/>
        <w:jc w:val="center"/>
        <w:textAlignment w:val="auto"/>
        <w:rPr>
          <w:rFonts w:ascii="方正小标宋简体" w:hAnsi="方正小标宋简体" w:eastAsia="方正小标宋简体" w:cs="方正小标宋简体"/>
          <w:color w:val="auto"/>
          <w:sz w:val="44"/>
          <w:szCs w:val="44"/>
          <w:highlight w:val="none"/>
          <w:u w:val="none"/>
        </w:rPr>
      </w:pPr>
      <w:r>
        <w:rPr>
          <w:rFonts w:hint="eastAsia" w:ascii="方正小标宋简体" w:hAnsi="方正小标宋简体" w:eastAsia="方正小标宋简体" w:cs="方正小标宋简体"/>
          <w:color w:val="auto"/>
          <w:sz w:val="44"/>
          <w:szCs w:val="44"/>
          <w:highlight w:val="none"/>
          <w:u w:val="none"/>
          <w:lang w:val="en-US" w:eastAsia="zh-CN"/>
        </w:rPr>
        <w:t>2026</w:t>
      </w:r>
      <w:r>
        <w:rPr>
          <w:rFonts w:hint="eastAsia" w:ascii="方正小标宋简体" w:hAnsi="方正小标宋简体" w:eastAsia="方正小标宋简体" w:cs="方正小标宋简体"/>
          <w:color w:val="auto"/>
          <w:sz w:val="44"/>
          <w:szCs w:val="44"/>
          <w:highlight w:val="none"/>
          <w:u w:val="none"/>
        </w:rPr>
        <w:t>年度</w:t>
      </w:r>
      <w:r>
        <w:rPr>
          <w:rFonts w:hint="eastAsia" w:ascii="方正小标宋简体" w:hAnsi="方正小标宋简体" w:eastAsia="方正小标宋简体" w:cs="方正小标宋简体"/>
          <w:color w:val="auto"/>
          <w:sz w:val="44"/>
          <w:szCs w:val="44"/>
          <w:highlight w:val="none"/>
          <w:u w:val="none"/>
          <w:lang w:val="en-US" w:eastAsia="zh-CN"/>
        </w:rPr>
        <w:t>部门</w:t>
      </w:r>
      <w:r>
        <w:rPr>
          <w:rFonts w:hint="eastAsia" w:ascii="方正小标宋简体" w:hAnsi="方正小标宋简体" w:eastAsia="方正小标宋简体" w:cs="方正小标宋简体"/>
          <w:color w:val="auto"/>
          <w:sz w:val="44"/>
          <w:szCs w:val="44"/>
          <w:highlight w:val="none"/>
          <w:u w:val="none"/>
        </w:rPr>
        <w:t>预算公开</w:t>
      </w:r>
    </w:p>
    <w:p w14:paraId="670D9F5F">
      <w:pPr>
        <w:keepNext w:val="0"/>
        <w:keepLines w:val="0"/>
        <w:pageBreakBefore w:val="0"/>
        <w:widowControl w:val="0"/>
        <w:kinsoku/>
        <w:wordWrap/>
        <w:overflowPunct/>
        <w:topLinePunct w:val="0"/>
        <w:autoSpaceDE/>
        <w:autoSpaceDN/>
        <w:bidi w:val="0"/>
        <w:adjustRightInd w:val="0"/>
        <w:snapToGrid w:val="0"/>
        <w:spacing w:line="480" w:lineRule="auto"/>
        <w:ind w:firstLine="640"/>
        <w:textAlignment w:val="auto"/>
        <w:rPr>
          <w:rFonts w:ascii="Times New Roman" w:hAnsi="Times New Roman" w:eastAsia="仿宋_GB2312"/>
          <w:color w:val="auto"/>
          <w:sz w:val="32"/>
          <w:szCs w:val="32"/>
          <w:highlight w:val="none"/>
          <w:u w:val="none"/>
        </w:rPr>
      </w:pPr>
    </w:p>
    <w:p w14:paraId="7EC4DB5B">
      <w:pPr>
        <w:adjustRightInd w:val="0"/>
        <w:snapToGrid w:val="0"/>
        <w:spacing w:line="600" w:lineRule="exact"/>
        <w:ind w:firstLine="640"/>
        <w:rPr>
          <w:rFonts w:ascii="Times New Roman" w:hAnsi="Times New Roman" w:eastAsia="仿宋_GB2312"/>
          <w:color w:val="auto"/>
          <w:sz w:val="32"/>
          <w:szCs w:val="32"/>
          <w:highlight w:val="none"/>
          <w:u w:val="none"/>
        </w:rPr>
      </w:pPr>
    </w:p>
    <w:p w14:paraId="0CCA2C7C">
      <w:pPr>
        <w:adjustRightInd w:val="0"/>
        <w:snapToGrid w:val="0"/>
        <w:spacing w:line="600" w:lineRule="exact"/>
        <w:rPr>
          <w:rFonts w:ascii="Times New Roman" w:hAnsi="Times New Roman" w:eastAsia="仿宋_GB2312"/>
          <w:color w:val="auto"/>
          <w:sz w:val="32"/>
          <w:szCs w:val="32"/>
          <w:highlight w:val="none"/>
          <w:u w:val="none"/>
        </w:rPr>
      </w:pPr>
    </w:p>
    <w:p w14:paraId="4BB6E39A">
      <w:pPr>
        <w:adjustRightInd w:val="0"/>
        <w:snapToGrid w:val="0"/>
        <w:spacing w:line="600" w:lineRule="exact"/>
        <w:ind w:firstLine="640"/>
        <w:rPr>
          <w:rFonts w:ascii="Times New Roman" w:hAnsi="Times New Roman" w:eastAsia="仿宋_GB2312"/>
          <w:color w:val="auto"/>
          <w:sz w:val="32"/>
          <w:szCs w:val="32"/>
          <w:highlight w:val="none"/>
          <w:u w:val="none"/>
        </w:rPr>
      </w:pPr>
    </w:p>
    <w:p w14:paraId="5460F903">
      <w:pPr>
        <w:adjustRightInd w:val="0"/>
        <w:snapToGrid w:val="0"/>
        <w:spacing w:line="600" w:lineRule="exact"/>
        <w:ind w:firstLine="640"/>
        <w:rPr>
          <w:rFonts w:ascii="Times New Roman" w:hAnsi="Times New Roman" w:eastAsia="仿宋_GB2312"/>
          <w:color w:val="auto"/>
          <w:sz w:val="32"/>
          <w:szCs w:val="32"/>
          <w:highlight w:val="none"/>
          <w:u w:val="none"/>
        </w:rPr>
      </w:pPr>
    </w:p>
    <w:p w14:paraId="28682881">
      <w:pPr>
        <w:adjustRightInd w:val="0"/>
        <w:snapToGrid w:val="0"/>
        <w:spacing w:line="600" w:lineRule="exact"/>
        <w:ind w:firstLine="640"/>
        <w:rPr>
          <w:rFonts w:ascii="Times New Roman" w:hAnsi="Times New Roman" w:eastAsia="仿宋_GB2312"/>
          <w:color w:val="auto"/>
          <w:sz w:val="32"/>
          <w:szCs w:val="32"/>
          <w:highlight w:val="none"/>
          <w:u w:val="none"/>
        </w:rPr>
      </w:pPr>
    </w:p>
    <w:p w14:paraId="57FC1A2C">
      <w:pPr>
        <w:adjustRightInd w:val="0"/>
        <w:snapToGrid w:val="0"/>
        <w:spacing w:line="600" w:lineRule="exact"/>
        <w:ind w:firstLine="640"/>
        <w:rPr>
          <w:rFonts w:ascii="Times New Roman" w:hAnsi="Times New Roman" w:eastAsia="仿宋_GB2312"/>
          <w:color w:val="auto"/>
          <w:sz w:val="32"/>
          <w:szCs w:val="32"/>
          <w:highlight w:val="none"/>
          <w:u w:val="none"/>
        </w:rPr>
      </w:pPr>
    </w:p>
    <w:p w14:paraId="646F86AF">
      <w:pPr>
        <w:adjustRightInd w:val="0"/>
        <w:snapToGrid w:val="0"/>
        <w:spacing w:line="600" w:lineRule="exact"/>
        <w:ind w:firstLine="640"/>
        <w:rPr>
          <w:rFonts w:ascii="Times New Roman" w:hAnsi="Times New Roman" w:eastAsia="仿宋_GB2312"/>
          <w:color w:val="auto"/>
          <w:sz w:val="32"/>
          <w:szCs w:val="32"/>
          <w:highlight w:val="none"/>
          <w:u w:val="none"/>
        </w:rPr>
      </w:pPr>
    </w:p>
    <w:p w14:paraId="0D576180">
      <w:pPr>
        <w:pStyle w:val="18"/>
        <w:spacing w:after="0" w:line="600" w:lineRule="exact"/>
        <w:ind w:left="0" w:leftChars="0" w:firstLine="0"/>
        <w:jc w:val="center"/>
        <w:rPr>
          <w:rFonts w:hint="default" w:ascii="黑体" w:hAnsi="黑体" w:eastAsia="黑体" w:cs="黑体"/>
          <w:color w:val="auto"/>
          <w:highlight w:val="none"/>
          <w:u w:val="none"/>
        </w:rPr>
      </w:pPr>
      <w:r>
        <w:rPr>
          <w:rFonts w:ascii="黑体" w:hAnsi="黑体" w:eastAsia="黑体" w:cs="黑体"/>
          <w:color w:val="auto"/>
          <w:sz w:val="32"/>
          <w:szCs w:val="32"/>
          <w:highlight w:val="none"/>
          <w:u w:val="none"/>
        </w:rPr>
        <w:t xml:space="preserve">批复时间： </w:t>
      </w:r>
      <w:r>
        <w:rPr>
          <w:rFonts w:hint="eastAsia" w:ascii="黑体" w:hAnsi="黑体" w:eastAsia="黑体" w:cs="黑体"/>
          <w:color w:val="auto"/>
          <w:sz w:val="32"/>
          <w:szCs w:val="32"/>
          <w:highlight w:val="none"/>
          <w:u w:val="none"/>
          <w:lang w:val="en-US" w:eastAsia="zh-CN"/>
        </w:rPr>
        <w:t xml:space="preserve"> 2026</w:t>
      </w:r>
      <w:r>
        <w:rPr>
          <w:rFonts w:ascii="黑体" w:hAnsi="黑体" w:eastAsia="黑体" w:cs="黑体"/>
          <w:color w:val="auto"/>
          <w:sz w:val="32"/>
          <w:szCs w:val="32"/>
          <w:highlight w:val="none"/>
          <w:u w:val="none"/>
        </w:rPr>
        <w:t xml:space="preserve"> 年 </w:t>
      </w:r>
      <w:r>
        <w:rPr>
          <w:rFonts w:hint="eastAsia" w:ascii="黑体" w:hAnsi="黑体" w:eastAsia="黑体" w:cs="黑体"/>
          <w:color w:val="auto"/>
          <w:sz w:val="32"/>
          <w:szCs w:val="32"/>
          <w:highlight w:val="none"/>
          <w:u w:val="none"/>
          <w:lang w:val="en-US" w:eastAsia="zh-CN"/>
        </w:rPr>
        <w:t>2</w:t>
      </w:r>
      <w:r>
        <w:rPr>
          <w:rFonts w:ascii="黑体" w:hAnsi="黑体" w:eastAsia="黑体" w:cs="黑体"/>
          <w:color w:val="auto"/>
          <w:sz w:val="32"/>
          <w:szCs w:val="32"/>
          <w:highlight w:val="none"/>
          <w:u w:val="none"/>
        </w:rPr>
        <w:t xml:space="preserve">月 </w:t>
      </w:r>
      <w:r>
        <w:rPr>
          <w:rFonts w:hint="eastAsia" w:ascii="黑体" w:hAnsi="黑体" w:eastAsia="黑体" w:cs="黑体"/>
          <w:color w:val="auto"/>
          <w:sz w:val="32"/>
          <w:szCs w:val="32"/>
          <w:highlight w:val="none"/>
          <w:u w:val="none"/>
          <w:lang w:val="en-US" w:eastAsia="zh-CN"/>
        </w:rPr>
        <w:t>24</w:t>
      </w:r>
      <w:r>
        <w:rPr>
          <w:rFonts w:ascii="黑体" w:hAnsi="黑体" w:eastAsia="黑体" w:cs="黑体"/>
          <w:color w:val="auto"/>
          <w:sz w:val="32"/>
          <w:szCs w:val="32"/>
          <w:highlight w:val="none"/>
          <w:u w:val="none"/>
        </w:rPr>
        <w:t xml:space="preserve"> 日</w:t>
      </w:r>
    </w:p>
    <w:p w14:paraId="566D3138">
      <w:pPr>
        <w:pStyle w:val="18"/>
        <w:spacing w:after="0" w:line="600" w:lineRule="exact"/>
        <w:ind w:left="0" w:leftChars="0" w:firstLine="0"/>
        <w:jc w:val="center"/>
        <w:rPr>
          <w:rFonts w:hint="default" w:ascii="黑体" w:hAnsi="黑体" w:eastAsia="黑体" w:cs="黑体"/>
          <w:color w:val="auto"/>
          <w:highlight w:val="none"/>
          <w:u w:val="none"/>
        </w:rPr>
      </w:pPr>
      <w:r>
        <w:rPr>
          <w:rFonts w:ascii="黑体" w:hAnsi="黑体" w:eastAsia="黑体" w:cs="黑体"/>
          <w:color w:val="auto"/>
          <w:sz w:val="32"/>
          <w:szCs w:val="32"/>
          <w:highlight w:val="none"/>
          <w:u w:val="none"/>
        </w:rPr>
        <w:t xml:space="preserve">公开时间： </w:t>
      </w:r>
      <w:r>
        <w:rPr>
          <w:rFonts w:hint="eastAsia" w:ascii="黑体" w:hAnsi="黑体" w:eastAsia="黑体" w:cs="黑体"/>
          <w:color w:val="auto"/>
          <w:sz w:val="32"/>
          <w:szCs w:val="32"/>
          <w:highlight w:val="none"/>
          <w:u w:val="none"/>
          <w:lang w:val="en-US" w:eastAsia="zh-CN"/>
        </w:rPr>
        <w:t xml:space="preserve"> 2026</w:t>
      </w:r>
      <w:r>
        <w:rPr>
          <w:rFonts w:ascii="黑体" w:hAnsi="黑体" w:eastAsia="黑体" w:cs="黑体"/>
          <w:color w:val="auto"/>
          <w:sz w:val="32"/>
          <w:szCs w:val="32"/>
          <w:highlight w:val="none"/>
          <w:u w:val="none"/>
        </w:rPr>
        <w:t xml:space="preserve">年 </w:t>
      </w:r>
      <w:r>
        <w:rPr>
          <w:rFonts w:hint="eastAsia" w:ascii="黑体" w:hAnsi="黑体" w:eastAsia="黑体" w:cs="黑体"/>
          <w:color w:val="auto"/>
          <w:sz w:val="32"/>
          <w:szCs w:val="32"/>
          <w:highlight w:val="none"/>
          <w:u w:val="none"/>
          <w:lang w:val="en-US" w:eastAsia="zh-CN"/>
        </w:rPr>
        <w:t>3</w:t>
      </w:r>
      <w:r>
        <w:rPr>
          <w:rFonts w:ascii="黑体" w:hAnsi="黑体" w:eastAsia="黑体" w:cs="黑体"/>
          <w:color w:val="auto"/>
          <w:sz w:val="32"/>
          <w:szCs w:val="32"/>
          <w:highlight w:val="none"/>
          <w:u w:val="none"/>
        </w:rPr>
        <w:t xml:space="preserve"> 月</w:t>
      </w:r>
      <w:r>
        <w:rPr>
          <w:rFonts w:hint="eastAsia" w:ascii="黑体" w:hAnsi="黑体" w:eastAsia="黑体" w:cs="黑体"/>
          <w:color w:val="auto"/>
          <w:sz w:val="32"/>
          <w:szCs w:val="32"/>
          <w:highlight w:val="none"/>
          <w:u w:val="none"/>
          <w:lang w:val="en-US" w:eastAsia="zh-CN"/>
        </w:rPr>
        <w:t xml:space="preserve"> 12 </w:t>
      </w:r>
      <w:r>
        <w:rPr>
          <w:rFonts w:ascii="黑体" w:hAnsi="黑体" w:eastAsia="黑体" w:cs="黑体"/>
          <w:color w:val="auto"/>
          <w:sz w:val="32"/>
          <w:szCs w:val="32"/>
          <w:highlight w:val="none"/>
          <w:u w:val="none"/>
        </w:rPr>
        <w:t>日</w:t>
      </w:r>
    </w:p>
    <w:p w14:paraId="2F0BD5F9">
      <w:pPr>
        <w:pageBreakBefore/>
        <w:tabs>
          <w:tab w:val="left" w:pos="4533"/>
        </w:tabs>
        <w:adjustRightInd w:val="0"/>
        <w:snapToGrid w:val="0"/>
        <w:spacing w:line="600" w:lineRule="exact"/>
        <w:jc w:val="center"/>
        <w:rPr>
          <w:color w:val="auto"/>
          <w:sz w:val="44"/>
          <w:szCs w:val="44"/>
          <w:highlight w:val="none"/>
          <w:u w:val="none"/>
        </w:rPr>
      </w:pPr>
      <w:r>
        <w:rPr>
          <w:color w:val="auto"/>
          <w:sz w:val="44"/>
          <w:szCs w:val="44"/>
          <w:highlight w:val="none"/>
          <w:u w:val="none"/>
        </w:rPr>
        <w:t>目</w:t>
      </w:r>
      <w:r>
        <w:rPr>
          <w:rFonts w:hint="eastAsia" w:eastAsia="宋体"/>
          <w:color w:val="auto"/>
          <w:sz w:val="44"/>
          <w:szCs w:val="44"/>
          <w:highlight w:val="none"/>
          <w:u w:val="none"/>
        </w:rPr>
        <w:t xml:space="preserve">  </w:t>
      </w:r>
      <w:r>
        <w:rPr>
          <w:rFonts w:hint="eastAsia"/>
          <w:color w:val="auto"/>
          <w:sz w:val="44"/>
          <w:szCs w:val="44"/>
          <w:highlight w:val="none"/>
          <w:u w:val="none"/>
        </w:rPr>
        <w:t xml:space="preserve">  </w:t>
      </w:r>
      <w:r>
        <w:rPr>
          <w:color w:val="auto"/>
          <w:sz w:val="44"/>
          <w:szCs w:val="44"/>
          <w:highlight w:val="none"/>
          <w:u w:val="none"/>
        </w:rPr>
        <w:t>录</w:t>
      </w:r>
    </w:p>
    <w:p w14:paraId="17D95FC7">
      <w:pPr>
        <w:rPr>
          <w:color w:val="auto"/>
          <w:highlight w:val="none"/>
          <w:u w:val="none"/>
        </w:rPr>
      </w:pPr>
    </w:p>
    <w:p w14:paraId="48574043">
      <w:pPr>
        <w:pStyle w:val="8"/>
        <w:spacing w:after="0" w:line="600" w:lineRule="exact"/>
        <w:rPr>
          <w:rFonts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第一部分 部门（单位）概况</w:t>
      </w:r>
    </w:p>
    <w:p w14:paraId="078A5531">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一、主要职能、职责</w:t>
      </w:r>
    </w:p>
    <w:p w14:paraId="1716D7ED">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二、部门（单位）机构设置及预算单位构成情况</w:t>
      </w:r>
    </w:p>
    <w:p w14:paraId="1CAF9872">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三、</w:t>
      </w:r>
      <w:r>
        <w:rPr>
          <w:rFonts w:hint="eastAsia" w:ascii="仿宋_GB2312" w:hAnsi="仿宋_GB2312" w:eastAsia="仿宋_GB2312" w:cs="仿宋"/>
          <w:color w:val="auto"/>
          <w:sz w:val="32"/>
          <w:szCs w:val="32"/>
          <w:highlight w:val="none"/>
          <w:u w:val="none"/>
          <w:lang w:val="en-US" w:eastAsia="zh-CN"/>
        </w:rPr>
        <w:t>2026</w:t>
      </w:r>
      <w:r>
        <w:rPr>
          <w:rFonts w:hint="eastAsia" w:ascii="Times New Roman" w:hAnsi="Times New Roman" w:eastAsia="仿宋_GB2312" w:cs="仿宋"/>
          <w:color w:val="auto"/>
          <w:sz w:val="32"/>
          <w:szCs w:val="32"/>
          <w:highlight w:val="none"/>
          <w:u w:val="none"/>
        </w:rPr>
        <w:t>年度部门（单位）主要工作任务及目标</w:t>
      </w:r>
    </w:p>
    <w:p w14:paraId="3F611BEF">
      <w:pPr>
        <w:pStyle w:val="8"/>
        <w:spacing w:after="0" w:line="600" w:lineRule="exact"/>
        <w:rPr>
          <w:rFonts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 xml:space="preserve">第二部分 </w:t>
      </w:r>
      <w:r>
        <w:rPr>
          <w:rFonts w:hint="eastAsia" w:ascii="黑体" w:hAnsi="黑体" w:eastAsia="黑体" w:cs="黑体"/>
          <w:color w:val="auto"/>
          <w:sz w:val="32"/>
          <w:szCs w:val="32"/>
          <w:highlight w:val="none"/>
          <w:u w:val="none"/>
          <w:lang w:val="en-US" w:eastAsia="zh-CN"/>
        </w:rPr>
        <w:t>2025</w:t>
      </w:r>
      <w:r>
        <w:rPr>
          <w:rFonts w:hint="eastAsia" w:ascii="黑体" w:hAnsi="黑体" w:eastAsia="黑体" w:cs="黑体"/>
          <w:color w:val="auto"/>
          <w:sz w:val="32"/>
          <w:szCs w:val="32"/>
          <w:highlight w:val="none"/>
          <w:u w:val="none"/>
        </w:rPr>
        <w:t>年度部门（单位）预算情况说明</w:t>
      </w:r>
    </w:p>
    <w:p w14:paraId="2345A4AE">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一、收支预算总体情况说明</w:t>
      </w:r>
    </w:p>
    <w:p w14:paraId="3B641374">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二、收入预算情况说明</w:t>
      </w:r>
    </w:p>
    <w:p w14:paraId="47DEDCDF">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三、支出预算情况说明</w:t>
      </w:r>
    </w:p>
    <w:p w14:paraId="2A9CC832">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四、财政拨款收支预算总体情况说明</w:t>
      </w:r>
    </w:p>
    <w:p w14:paraId="36D2E1C1">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五、一般公共预算支出预算情况说明</w:t>
      </w:r>
    </w:p>
    <w:p w14:paraId="50C823E5">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六、一般公共预算基本支出预算情况说明</w:t>
      </w:r>
    </w:p>
    <w:p w14:paraId="427E10F9">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七、一般公共预算“三公”经费支出预算情况说明</w:t>
      </w:r>
    </w:p>
    <w:p w14:paraId="723EEE8D">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八、政府性基金预算支出预算情况说明</w:t>
      </w:r>
    </w:p>
    <w:p w14:paraId="161C5321">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九、国有资本经营预算支出预算情况说明</w:t>
      </w:r>
    </w:p>
    <w:p w14:paraId="0F7873BF">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十、项目支出预算情况说明</w:t>
      </w:r>
    </w:p>
    <w:p w14:paraId="7E1B2250">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十一、</w:t>
      </w:r>
      <w:r>
        <w:rPr>
          <w:rFonts w:hint="eastAsia" w:ascii="Times New Roman" w:hAnsi="Times New Roman" w:eastAsia="仿宋_GB2312" w:cs="仿宋"/>
          <w:color w:val="auto"/>
          <w:sz w:val="32"/>
          <w:szCs w:val="32"/>
          <w:highlight w:val="none"/>
          <w:u w:val="none"/>
          <w:lang w:val="en-US" w:eastAsia="zh-CN"/>
        </w:rPr>
        <w:t>机构</w:t>
      </w:r>
      <w:r>
        <w:rPr>
          <w:rFonts w:hint="eastAsia" w:ascii="Times New Roman" w:hAnsi="Times New Roman" w:eastAsia="仿宋_GB2312" w:cs="仿宋"/>
          <w:color w:val="auto"/>
          <w:sz w:val="32"/>
          <w:szCs w:val="32"/>
          <w:highlight w:val="none"/>
          <w:u w:val="none"/>
        </w:rPr>
        <w:t>运行经费支出预算情况说明</w:t>
      </w:r>
    </w:p>
    <w:p w14:paraId="62907CAD">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十二、政府采购支出预算情况说明</w:t>
      </w:r>
    </w:p>
    <w:p w14:paraId="5C8E8B7C">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十三、国有资产占用情况说明</w:t>
      </w:r>
    </w:p>
    <w:p w14:paraId="54FA6E92">
      <w:pPr>
        <w:widowControl/>
        <w:spacing w:line="600" w:lineRule="exact"/>
        <w:jc w:val="lef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 xml:space="preserve">十四、项目绩效目标情况说明 </w:t>
      </w:r>
    </w:p>
    <w:p w14:paraId="03E9FA63">
      <w:pPr>
        <w:pStyle w:val="8"/>
        <w:spacing w:after="0" w:line="600" w:lineRule="exact"/>
        <w:rPr>
          <w:rFonts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第三部分 名词解释</w:t>
      </w:r>
    </w:p>
    <w:p w14:paraId="12E4B7C3">
      <w:pPr>
        <w:pStyle w:val="8"/>
        <w:spacing w:after="0" w:line="600" w:lineRule="exact"/>
        <w:rPr>
          <w:rFonts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第四部分 预算公开联系方式及信息反馈渠道</w:t>
      </w:r>
    </w:p>
    <w:p w14:paraId="6CDA9DA5">
      <w:pPr>
        <w:pStyle w:val="8"/>
        <w:spacing w:after="0" w:line="600" w:lineRule="exact"/>
        <w:rPr>
          <w:rFonts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 xml:space="preserve">第五部分 </w:t>
      </w:r>
      <w:r>
        <w:rPr>
          <w:rFonts w:hint="eastAsia" w:ascii="黑体" w:hAnsi="黑体" w:eastAsia="黑体" w:cs="黑体"/>
          <w:color w:val="auto"/>
          <w:sz w:val="32"/>
          <w:szCs w:val="32"/>
          <w:highlight w:val="none"/>
          <w:u w:val="none"/>
          <w:lang w:val="en-US" w:eastAsia="zh-CN"/>
        </w:rPr>
        <w:t>2026</w:t>
      </w:r>
      <w:r>
        <w:rPr>
          <w:rFonts w:hint="eastAsia" w:ascii="黑体" w:hAnsi="黑体" w:eastAsia="黑体" w:cs="黑体"/>
          <w:color w:val="auto"/>
          <w:sz w:val="32"/>
          <w:szCs w:val="32"/>
          <w:highlight w:val="none"/>
          <w:u w:val="none"/>
        </w:rPr>
        <w:t>年度部门（单位）预算表</w:t>
      </w:r>
    </w:p>
    <w:p w14:paraId="71858DA5">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一、收支总表</w:t>
      </w:r>
    </w:p>
    <w:p w14:paraId="2B7A7FB2">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二、收入总表</w:t>
      </w:r>
    </w:p>
    <w:p w14:paraId="0870820E">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三、支出总表</w:t>
      </w:r>
    </w:p>
    <w:p w14:paraId="403F28C2">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四、财政拨款收支总表</w:t>
      </w:r>
    </w:p>
    <w:p w14:paraId="16B87146">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五、一般公共预算支出表</w:t>
      </w:r>
    </w:p>
    <w:p w14:paraId="67569466">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六、一般公共预算基本支出表</w:t>
      </w:r>
    </w:p>
    <w:p w14:paraId="07E7644F">
      <w:pPr>
        <w:pStyle w:val="8"/>
        <w:spacing w:after="0" w:line="600" w:lineRule="exact"/>
        <w:rPr>
          <w:rFonts w:ascii="Times New Roman" w:hAnsi="Times New Roman" w:eastAsia="仿宋_GB2312" w:cs="仿宋"/>
          <w:color w:val="auto"/>
          <w:spacing w:val="-16"/>
          <w:w w:val="95"/>
          <w:sz w:val="32"/>
          <w:szCs w:val="32"/>
          <w:highlight w:val="none"/>
          <w:u w:val="none"/>
        </w:rPr>
      </w:pPr>
      <w:r>
        <w:rPr>
          <w:rFonts w:hint="eastAsia" w:ascii="Times New Roman" w:hAnsi="Times New Roman" w:eastAsia="仿宋_GB2312" w:cs="仿宋"/>
          <w:color w:val="auto"/>
          <w:spacing w:val="-17"/>
          <w:w w:val="95"/>
          <w:sz w:val="32"/>
          <w:szCs w:val="32"/>
          <w:highlight w:val="none"/>
          <w:u w:val="none"/>
        </w:rPr>
        <w:t>七、一般公共预算</w:t>
      </w:r>
      <w:r>
        <w:rPr>
          <w:rFonts w:hint="eastAsia" w:ascii="Times New Roman" w:hAnsi="Times New Roman" w:eastAsia="仿宋_GB2312" w:cs="仿宋"/>
          <w:color w:val="auto"/>
          <w:spacing w:val="-8"/>
          <w:w w:val="95"/>
          <w:sz w:val="32"/>
          <w:szCs w:val="32"/>
          <w:highlight w:val="none"/>
          <w:u w:val="none"/>
        </w:rPr>
        <w:t>“</w:t>
      </w:r>
      <w:r>
        <w:rPr>
          <w:rFonts w:hint="eastAsia" w:ascii="Times New Roman" w:hAnsi="Times New Roman" w:eastAsia="仿宋_GB2312" w:cs="仿宋"/>
          <w:color w:val="auto"/>
          <w:spacing w:val="-15"/>
          <w:w w:val="95"/>
          <w:sz w:val="32"/>
          <w:szCs w:val="32"/>
          <w:highlight w:val="none"/>
          <w:u w:val="none"/>
        </w:rPr>
        <w:t>三公</w:t>
      </w:r>
      <w:r>
        <w:rPr>
          <w:rFonts w:hint="eastAsia" w:ascii="Times New Roman" w:hAnsi="Times New Roman" w:eastAsia="仿宋_GB2312" w:cs="仿宋"/>
          <w:color w:val="auto"/>
          <w:spacing w:val="-10"/>
          <w:w w:val="95"/>
          <w:sz w:val="32"/>
          <w:szCs w:val="32"/>
          <w:highlight w:val="none"/>
          <w:u w:val="none"/>
        </w:rPr>
        <w:t>”</w:t>
      </w:r>
      <w:r>
        <w:rPr>
          <w:rFonts w:hint="eastAsia" w:ascii="Times New Roman" w:hAnsi="Times New Roman" w:eastAsia="仿宋_GB2312" w:cs="仿宋"/>
          <w:color w:val="auto"/>
          <w:spacing w:val="-16"/>
          <w:w w:val="95"/>
          <w:sz w:val="32"/>
          <w:szCs w:val="32"/>
          <w:highlight w:val="none"/>
          <w:u w:val="none"/>
        </w:rPr>
        <w:t>经费支出表</w:t>
      </w:r>
    </w:p>
    <w:p w14:paraId="38527B98">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pacing w:val="-16"/>
          <w:w w:val="95"/>
          <w:sz w:val="32"/>
          <w:szCs w:val="32"/>
          <w:highlight w:val="none"/>
          <w:u w:val="none"/>
        </w:rPr>
        <w:t>八、政府性基金预算支出表</w:t>
      </w:r>
    </w:p>
    <w:p w14:paraId="2BEBFC4F">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九、国有资本经营预算支出表</w:t>
      </w:r>
    </w:p>
    <w:p w14:paraId="672EE524">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十、项目支出表</w:t>
      </w:r>
    </w:p>
    <w:p w14:paraId="71A9DA8B">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sz w:val="32"/>
          <w:szCs w:val="32"/>
          <w:highlight w:val="none"/>
          <w:u w:val="none"/>
        </w:rPr>
        <w:t>十一、项目绩效目标表</w:t>
      </w:r>
    </w:p>
    <w:p w14:paraId="4AB49D14">
      <w:pPr>
        <w:pStyle w:val="8"/>
        <w:spacing w:after="0" w:line="600" w:lineRule="exact"/>
        <w:rPr>
          <w:rFonts w:ascii="Times New Roman" w:hAnsi="Times New Roman" w:eastAsia="仿宋_GB2312" w:cs="仿宋"/>
          <w:color w:val="auto"/>
          <w:sz w:val="32"/>
          <w:szCs w:val="32"/>
          <w:highlight w:val="none"/>
          <w:u w:val="none"/>
        </w:rPr>
      </w:pPr>
      <w:r>
        <w:rPr>
          <w:rFonts w:hint="eastAsia" w:ascii="Times New Roman" w:hAnsi="Times New Roman" w:eastAsia="仿宋_GB2312" w:cs="仿宋"/>
          <w:color w:val="auto"/>
          <w:w w:val="95"/>
          <w:sz w:val="32"/>
          <w:szCs w:val="32"/>
          <w:highlight w:val="none"/>
          <w:u w:val="none"/>
        </w:rPr>
        <w:t>十二、政府采购预算表</w:t>
      </w:r>
    </w:p>
    <w:p w14:paraId="41CF4525">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bookmarkStart w:id="0" w:name="_Toc30742"/>
    </w:p>
    <w:p w14:paraId="660F63AC">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14:paraId="715C1658">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14:paraId="4FEC94A4">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14:paraId="52719B05">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14:paraId="4D01D976">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14:paraId="6FC41C3C">
      <w:pPr>
        <w:rPr>
          <w:rFonts w:hint="eastAsia" w:ascii="方正小标宋简体" w:hAnsi="方正小标宋简体" w:eastAsia="方正小标宋简体" w:cs="方正小标宋简体"/>
          <w:b w:val="0"/>
          <w:bCs w:val="0"/>
          <w:color w:val="auto"/>
          <w:sz w:val="36"/>
          <w:szCs w:val="36"/>
          <w:highlight w:val="none"/>
          <w:u w:val="none"/>
        </w:rPr>
      </w:pPr>
    </w:p>
    <w:p w14:paraId="76E0F95E">
      <w:pPr>
        <w:rPr>
          <w:rFonts w:hint="eastAsia" w:ascii="方正小标宋简体" w:hAnsi="方正小标宋简体" w:eastAsia="方正小标宋简体" w:cs="方正小标宋简体"/>
          <w:b w:val="0"/>
          <w:bCs w:val="0"/>
          <w:color w:val="auto"/>
          <w:sz w:val="36"/>
          <w:szCs w:val="36"/>
          <w:highlight w:val="none"/>
          <w:u w:val="none"/>
        </w:rPr>
      </w:pPr>
    </w:p>
    <w:p w14:paraId="603CE835">
      <w:pPr>
        <w:rPr>
          <w:rFonts w:hint="eastAsia" w:ascii="方正小标宋简体" w:hAnsi="方正小标宋简体" w:eastAsia="方正小标宋简体" w:cs="方正小标宋简体"/>
          <w:b w:val="0"/>
          <w:bCs w:val="0"/>
          <w:color w:val="auto"/>
          <w:sz w:val="36"/>
          <w:szCs w:val="36"/>
          <w:highlight w:val="none"/>
          <w:u w:val="none"/>
        </w:rPr>
      </w:pPr>
    </w:p>
    <w:p w14:paraId="2C016BC1">
      <w:pPr>
        <w:pStyle w:val="3"/>
        <w:tabs>
          <w:tab w:val="left" w:pos="4392"/>
        </w:tabs>
        <w:adjustRightInd/>
        <w:snapToGrid/>
        <w:spacing w:before="0" w:after="0" w:line="600" w:lineRule="exact"/>
        <w:ind w:firstLine="0" w:firstLineChars="0"/>
        <w:jc w:val="center"/>
        <w:rPr>
          <w:rFonts w:hint="eastAsia" w:ascii="方正小标宋简体" w:hAnsi="方正小标宋简体" w:eastAsia="方正小标宋简体" w:cs="方正小标宋简体"/>
          <w:b w:val="0"/>
          <w:bCs w:val="0"/>
          <w:color w:val="auto"/>
          <w:sz w:val="36"/>
          <w:szCs w:val="36"/>
          <w:highlight w:val="none"/>
          <w:u w:val="none"/>
        </w:rPr>
      </w:pPr>
    </w:p>
    <w:p w14:paraId="5B10DD6B">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color w:val="auto"/>
          <w:sz w:val="36"/>
          <w:szCs w:val="36"/>
          <w:highlight w:val="none"/>
          <w:u w:val="none"/>
        </w:rPr>
      </w:pPr>
      <w:r>
        <w:rPr>
          <w:rFonts w:hint="eastAsia" w:ascii="方正小标宋简体" w:hAnsi="方正小标宋简体" w:eastAsia="方正小标宋简体" w:cs="方正小标宋简体"/>
          <w:b w:val="0"/>
          <w:bCs w:val="0"/>
          <w:color w:val="auto"/>
          <w:sz w:val="36"/>
          <w:szCs w:val="36"/>
          <w:highlight w:val="none"/>
          <w:u w:val="none"/>
        </w:rPr>
        <w:t>第一部分  部门（单位）概况</w:t>
      </w:r>
      <w:bookmarkEnd w:id="0"/>
    </w:p>
    <w:p w14:paraId="5F0C04F3">
      <w:pPr>
        <w:spacing w:line="600" w:lineRule="exact"/>
        <w:rPr>
          <w:rFonts w:ascii="方正小标宋简体" w:hAnsi="方正小标宋简体" w:eastAsia="方正小标宋简体" w:cs="方正小标宋简体"/>
          <w:color w:val="auto"/>
          <w:sz w:val="36"/>
          <w:szCs w:val="36"/>
          <w:highlight w:val="none"/>
          <w:u w:val="none"/>
        </w:rPr>
      </w:pPr>
    </w:p>
    <w:p w14:paraId="15966E3F">
      <w:pPr>
        <w:numPr>
          <w:ilvl w:val="0"/>
          <w:numId w:val="1"/>
        </w:numPr>
        <w:spacing w:line="600" w:lineRule="exact"/>
        <w:ind w:left="17" w:leftChars="8" w:firstLine="624" w:firstLineChars="195"/>
        <w:outlineLvl w:val="2"/>
        <w:rPr>
          <w:rFonts w:eastAsia="黑体" w:cs="黑体"/>
          <w:color w:val="auto"/>
          <w:sz w:val="32"/>
          <w:szCs w:val="36"/>
          <w:highlight w:val="none"/>
          <w:u w:val="none"/>
        </w:rPr>
      </w:pPr>
      <w:r>
        <w:rPr>
          <w:rFonts w:hint="eastAsia" w:eastAsia="黑体" w:cs="黑体"/>
          <w:color w:val="auto"/>
          <w:sz w:val="32"/>
          <w:szCs w:val="36"/>
          <w:highlight w:val="none"/>
          <w:u w:val="none"/>
        </w:rPr>
        <w:t>主要职能职责</w:t>
      </w:r>
    </w:p>
    <w:p w14:paraId="05AB285D">
      <w:pPr>
        <w:numPr>
          <w:ilvl w:val="0"/>
          <w:numId w:val="0"/>
        </w:numPr>
        <w:spacing w:line="600" w:lineRule="exact"/>
        <w:ind w:leftChars="203"/>
        <w:outlineLvl w:val="2"/>
        <w:rPr>
          <w:rFonts w:hint="default" w:eastAsia="黑体" w:cs="黑体"/>
          <w:color w:val="auto"/>
          <w:sz w:val="32"/>
          <w:szCs w:val="36"/>
          <w:highlight w:val="none"/>
          <w:u w:val="none"/>
          <w:lang w:val="en-US" w:eastAsia="zh-CN"/>
        </w:rPr>
      </w:pPr>
      <w:r>
        <w:rPr>
          <w:rFonts w:hint="eastAsia" w:eastAsia="黑体" w:cs="黑体"/>
          <w:color w:val="auto"/>
          <w:sz w:val="32"/>
          <w:szCs w:val="36"/>
          <w:highlight w:val="none"/>
          <w:u w:val="none"/>
          <w:lang w:eastAsia="zh-CN"/>
        </w:rPr>
        <w:t>（</w:t>
      </w:r>
      <w:r>
        <w:rPr>
          <w:rFonts w:hint="eastAsia" w:eastAsia="黑体" w:cs="黑体"/>
          <w:color w:val="auto"/>
          <w:sz w:val="32"/>
          <w:szCs w:val="36"/>
          <w:highlight w:val="none"/>
          <w:u w:val="none"/>
          <w:lang w:val="en-US" w:eastAsia="zh-CN"/>
        </w:rPr>
        <w:t>一</w:t>
      </w:r>
      <w:r>
        <w:rPr>
          <w:rFonts w:hint="eastAsia" w:eastAsia="黑体" w:cs="黑体"/>
          <w:color w:val="auto"/>
          <w:sz w:val="32"/>
          <w:szCs w:val="36"/>
          <w:highlight w:val="none"/>
          <w:u w:val="none"/>
          <w:lang w:eastAsia="zh-CN"/>
        </w:rPr>
        <w:t>）</w:t>
      </w:r>
      <w:r>
        <w:rPr>
          <w:rFonts w:hint="eastAsia" w:eastAsia="黑体" w:cs="黑体"/>
          <w:color w:val="auto"/>
          <w:sz w:val="32"/>
          <w:szCs w:val="36"/>
          <w:highlight w:val="none"/>
          <w:u w:val="none"/>
          <w:lang w:val="en-US" w:eastAsia="zh-CN"/>
        </w:rPr>
        <w:t>部门职能</w:t>
      </w:r>
    </w:p>
    <w:p w14:paraId="5A26CB00">
      <w:pPr>
        <w:spacing w:line="600" w:lineRule="exact"/>
        <w:ind w:firstLine="640" w:firstLineChars="200"/>
        <w:rPr>
          <w:rFonts w:hint="eastAsia"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rPr>
        <w:t>内蒙古医科大学附属</w:t>
      </w:r>
      <w:r>
        <w:rPr>
          <w:rFonts w:hint="eastAsia" w:eastAsia="仿宋_GB2312" w:cstheme="minorBidi"/>
          <w:color w:val="auto"/>
          <w:sz w:val="32"/>
          <w:szCs w:val="32"/>
          <w:highlight w:val="none"/>
          <w:u w:val="none"/>
          <w:lang w:val="en-US" w:eastAsia="zh-CN"/>
        </w:rPr>
        <w:t>敕勒川</w:t>
      </w:r>
      <w:r>
        <w:rPr>
          <w:rFonts w:hint="eastAsia" w:eastAsia="仿宋_GB2312" w:cstheme="minorBidi"/>
          <w:color w:val="auto"/>
          <w:sz w:val="32"/>
          <w:szCs w:val="32"/>
          <w:highlight w:val="none"/>
          <w:u w:val="none"/>
        </w:rPr>
        <w:t>医院是一所集医疗、教学、科研、预防、保健、康复和急</w:t>
      </w:r>
      <w:r>
        <w:rPr>
          <w:rFonts w:hint="eastAsia" w:eastAsia="仿宋_GB2312" w:cstheme="minorBidi"/>
          <w:color w:val="auto"/>
          <w:sz w:val="32"/>
          <w:szCs w:val="32"/>
          <w:highlight w:val="none"/>
          <w:u w:val="none"/>
          <w:lang w:val="en-US" w:eastAsia="zh-CN"/>
        </w:rPr>
        <w:t>救等功能于一体的综合性医院，承担医疗服务、卫生人才培养、培训、医学研究、医学成果转化、康复保健、紧急医学和业务范围突发公共卫生事件救援、传染病防治药物临床试验，实验室间质量评价等任务。</w:t>
      </w:r>
    </w:p>
    <w:p w14:paraId="513BE312">
      <w:pPr>
        <w:numPr>
          <w:ilvl w:val="0"/>
          <w:numId w:val="2"/>
        </w:numPr>
        <w:spacing w:line="600" w:lineRule="exact"/>
        <w:ind w:leftChars="203"/>
        <w:outlineLvl w:val="2"/>
        <w:rPr>
          <w:rFonts w:hint="eastAsia" w:eastAsia="黑体" w:cs="黑体"/>
          <w:color w:val="auto"/>
          <w:sz w:val="32"/>
          <w:szCs w:val="36"/>
          <w:highlight w:val="none"/>
          <w:u w:val="none"/>
          <w:lang w:val="en-US" w:eastAsia="zh-CN"/>
        </w:rPr>
      </w:pPr>
      <w:r>
        <w:rPr>
          <w:rFonts w:hint="eastAsia" w:eastAsia="黑体" w:cs="黑体"/>
          <w:color w:val="auto"/>
          <w:sz w:val="32"/>
          <w:szCs w:val="36"/>
          <w:highlight w:val="none"/>
          <w:u w:val="none"/>
          <w:lang w:val="en-US" w:eastAsia="zh-CN"/>
        </w:rPr>
        <w:t>部门主要职责</w:t>
      </w:r>
    </w:p>
    <w:p w14:paraId="5322B6CF">
      <w:pPr>
        <w:spacing w:line="600" w:lineRule="exact"/>
        <w:ind w:firstLine="640" w:firstLineChars="200"/>
        <w:rPr>
          <w:rFonts w:hint="eastAsia"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rPr>
        <w:t>内蒙古医科大学附属</w:t>
      </w:r>
      <w:r>
        <w:rPr>
          <w:rFonts w:hint="eastAsia" w:eastAsia="仿宋_GB2312" w:cstheme="minorBidi"/>
          <w:color w:val="auto"/>
          <w:sz w:val="32"/>
          <w:szCs w:val="32"/>
          <w:highlight w:val="none"/>
          <w:u w:val="none"/>
          <w:lang w:val="en-US" w:eastAsia="zh-CN"/>
        </w:rPr>
        <w:t>敕勒川</w:t>
      </w:r>
      <w:r>
        <w:rPr>
          <w:rFonts w:hint="eastAsia" w:eastAsia="仿宋_GB2312" w:cstheme="minorBidi"/>
          <w:color w:val="auto"/>
          <w:sz w:val="32"/>
          <w:szCs w:val="32"/>
          <w:highlight w:val="none"/>
          <w:u w:val="none"/>
        </w:rPr>
        <w:t>医院的主要职责</w:t>
      </w:r>
      <w:r>
        <w:rPr>
          <w:rFonts w:hint="eastAsia" w:eastAsia="仿宋_GB2312" w:cstheme="minorBidi"/>
          <w:color w:val="auto"/>
          <w:sz w:val="32"/>
          <w:szCs w:val="32"/>
          <w:highlight w:val="none"/>
          <w:u w:val="none"/>
          <w:lang w:val="en-US" w:eastAsia="zh-CN"/>
        </w:rPr>
        <w:t>尚未批复</w:t>
      </w:r>
    </w:p>
    <w:p w14:paraId="517FC399">
      <w:pPr>
        <w:spacing w:line="600" w:lineRule="exact"/>
        <w:ind w:firstLine="640" w:firstLineChars="200"/>
        <w:rPr>
          <w:rFonts w:hint="eastAsia" w:eastAsia="仿宋_GB2312" w:cstheme="minorBidi"/>
          <w:color w:val="auto"/>
          <w:sz w:val="32"/>
          <w:szCs w:val="32"/>
          <w:highlight w:val="none"/>
          <w:u w:val="none"/>
        </w:rPr>
      </w:pPr>
    </w:p>
    <w:p w14:paraId="7BB76139">
      <w:pPr>
        <w:numPr>
          <w:ilvl w:val="0"/>
          <w:numId w:val="1"/>
        </w:numPr>
        <w:spacing w:line="600" w:lineRule="exact"/>
        <w:ind w:left="17" w:leftChars="8" w:firstLine="624" w:firstLineChars="195"/>
        <w:outlineLvl w:val="2"/>
        <w:rPr>
          <w:rFonts w:eastAsia="黑体" w:cs="黑体"/>
          <w:color w:val="auto"/>
          <w:sz w:val="32"/>
          <w:szCs w:val="36"/>
          <w:highlight w:val="none"/>
          <w:u w:val="none"/>
        </w:rPr>
      </w:pPr>
      <w:r>
        <w:rPr>
          <w:rFonts w:hint="eastAsia" w:eastAsia="黑体" w:cs="黑体"/>
          <w:color w:val="auto"/>
          <w:sz w:val="32"/>
          <w:szCs w:val="36"/>
          <w:highlight w:val="none"/>
          <w:u w:val="none"/>
        </w:rPr>
        <w:t>部门（单位）机构设置及预算单位构成情况</w:t>
      </w:r>
    </w:p>
    <w:p w14:paraId="3B61CDD8">
      <w:pPr>
        <w:numPr>
          <w:ilvl w:val="0"/>
          <w:numId w:val="2"/>
        </w:numPr>
        <w:spacing w:line="600" w:lineRule="exact"/>
        <w:ind w:left="426" w:leftChars="203" w:firstLine="0" w:firstLineChars="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内蒙古医科大学附属</w:t>
      </w:r>
      <w:r>
        <w:rPr>
          <w:rFonts w:hint="eastAsia" w:eastAsia="仿宋_GB2312" w:cstheme="minorBidi"/>
          <w:color w:val="auto"/>
          <w:sz w:val="32"/>
          <w:szCs w:val="32"/>
          <w:highlight w:val="none"/>
          <w:u w:val="none"/>
          <w:lang w:val="en-US" w:eastAsia="zh-CN"/>
        </w:rPr>
        <w:t>敕勒川</w:t>
      </w:r>
      <w:r>
        <w:rPr>
          <w:rFonts w:hint="eastAsia" w:eastAsia="仿宋_GB2312" w:cstheme="minorBidi"/>
          <w:color w:val="auto"/>
          <w:sz w:val="32"/>
          <w:szCs w:val="32"/>
          <w:highlight w:val="none"/>
          <w:u w:val="none"/>
        </w:rPr>
        <w:t>医院机构设置</w:t>
      </w:r>
      <w:r>
        <w:rPr>
          <w:rFonts w:hint="eastAsia" w:eastAsia="仿宋_GB2312" w:cstheme="minorBidi"/>
          <w:color w:val="auto"/>
          <w:sz w:val="32"/>
          <w:szCs w:val="32"/>
          <w:highlight w:val="none"/>
          <w:u w:val="none"/>
          <w:lang w:val="en-US" w:eastAsia="zh-CN"/>
        </w:rPr>
        <w:t>尚未批复</w:t>
      </w:r>
    </w:p>
    <w:p w14:paraId="46D298F3">
      <w:pPr>
        <w:numPr>
          <w:ilvl w:val="0"/>
          <w:numId w:val="0"/>
        </w:numPr>
        <w:spacing w:line="600" w:lineRule="exact"/>
        <w:ind w:leftChars="203"/>
        <w:rPr>
          <w:rFonts w:hint="eastAsia"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lang w:val="en-US" w:eastAsia="zh-CN"/>
        </w:rPr>
        <w:t xml:space="preserve"> </w:t>
      </w:r>
    </w:p>
    <w:p w14:paraId="24F3FA00">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（二）内蒙古医科大学附属医院人员基本情况</w:t>
      </w:r>
    </w:p>
    <w:p w14:paraId="6DEAA94A">
      <w:pPr>
        <w:spacing w:line="600" w:lineRule="exact"/>
        <w:ind w:firstLine="640" w:firstLineChars="200"/>
        <w:rPr>
          <w:rFonts w:hint="eastAsia" w:eastAsia="仿宋_GB2312" w:cstheme="minorBidi"/>
          <w:color w:val="auto"/>
          <w:sz w:val="32"/>
          <w:szCs w:val="32"/>
          <w:highlight w:val="none"/>
          <w:u w:val="none"/>
        </w:rPr>
      </w:pPr>
      <w:r>
        <w:rPr>
          <w:rFonts w:hint="eastAsia" w:eastAsia="仿宋_GB2312" w:cstheme="minorBidi"/>
          <w:color w:val="auto"/>
          <w:sz w:val="32"/>
          <w:szCs w:val="32"/>
          <w:highlight w:val="none"/>
          <w:u w:val="none"/>
        </w:rPr>
        <w:t>从预算单位构成看，纳入本单位</w:t>
      </w:r>
      <w:r>
        <w:rPr>
          <w:rFonts w:hint="eastAsia" w:eastAsia="仿宋_GB2312" w:cstheme="minorBidi"/>
          <w:color w:val="auto"/>
          <w:sz w:val="32"/>
          <w:szCs w:val="32"/>
          <w:highlight w:val="none"/>
          <w:u w:val="none"/>
          <w:lang w:val="en-US" w:eastAsia="zh-CN"/>
        </w:rPr>
        <w:t>2026</w:t>
      </w:r>
      <w:r>
        <w:rPr>
          <w:rFonts w:hint="eastAsia" w:eastAsia="仿宋_GB2312" w:cstheme="minorBidi"/>
          <w:color w:val="auto"/>
          <w:sz w:val="32"/>
          <w:szCs w:val="32"/>
          <w:highlight w:val="none"/>
          <w:u w:val="none"/>
        </w:rPr>
        <w:t>年部门汇总预算编制范围的预算单位共计</w:t>
      </w:r>
      <w:r>
        <w:rPr>
          <w:rFonts w:hint="eastAsia" w:eastAsia="仿宋_GB2312" w:cstheme="minorBidi"/>
          <w:color w:val="auto"/>
          <w:sz w:val="32"/>
          <w:szCs w:val="32"/>
          <w:highlight w:val="none"/>
          <w:u w:val="none"/>
          <w:lang w:val="en-US" w:eastAsia="zh-CN"/>
        </w:rPr>
        <w:t>1</w:t>
      </w:r>
      <w:r>
        <w:rPr>
          <w:rFonts w:hint="eastAsia" w:eastAsia="仿宋_GB2312" w:cstheme="minorBidi"/>
          <w:color w:val="auto"/>
          <w:sz w:val="32"/>
          <w:szCs w:val="32"/>
          <w:highlight w:val="none"/>
          <w:u w:val="none"/>
        </w:rPr>
        <w:t>家，具体包括：</w:t>
      </w:r>
      <w:r>
        <w:rPr>
          <w:rFonts w:hint="eastAsia" w:eastAsia="仿宋_GB2312" w:cstheme="minorBidi"/>
          <w:color w:val="auto"/>
          <w:sz w:val="32"/>
          <w:szCs w:val="32"/>
          <w:highlight w:val="none"/>
          <w:u w:val="none"/>
          <w:lang w:val="en-US" w:eastAsia="zh-CN"/>
        </w:rPr>
        <w:t>内蒙古医科大学附属医院</w:t>
      </w:r>
      <w:r>
        <w:rPr>
          <w:rFonts w:hint="eastAsia" w:eastAsia="仿宋_GB2312" w:cstheme="minorBidi"/>
          <w:color w:val="auto"/>
          <w:sz w:val="32"/>
          <w:szCs w:val="32"/>
          <w:highlight w:val="none"/>
          <w:u w:val="none"/>
        </w:rPr>
        <w:t>。详细情况见表：</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4"/>
        <w:gridCol w:w="3845"/>
        <w:gridCol w:w="3267"/>
      </w:tblGrid>
      <w:tr w14:paraId="27E18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4" w:type="dxa"/>
          </w:tcPr>
          <w:p w14:paraId="3BA71385">
            <w:pPr>
              <w:spacing w:line="600" w:lineRule="exact"/>
              <w:ind w:firstLine="640" w:firstLineChars="200"/>
              <w:rPr>
                <w:rFonts w:hint="eastAsia"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lang w:val="en-US" w:eastAsia="zh-CN"/>
              </w:rPr>
              <w:t>序号</w:t>
            </w:r>
          </w:p>
        </w:tc>
        <w:tc>
          <w:tcPr>
            <w:tcW w:w="3845" w:type="dxa"/>
          </w:tcPr>
          <w:p w14:paraId="54A8FD3A">
            <w:pPr>
              <w:spacing w:line="600" w:lineRule="exact"/>
              <w:ind w:firstLine="640" w:firstLineChars="200"/>
              <w:rPr>
                <w:rFonts w:hint="default"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lang w:val="en-US" w:eastAsia="zh-CN"/>
              </w:rPr>
              <w:t>单位名称</w:t>
            </w:r>
          </w:p>
        </w:tc>
        <w:tc>
          <w:tcPr>
            <w:tcW w:w="3267" w:type="dxa"/>
          </w:tcPr>
          <w:p w14:paraId="5F481574">
            <w:pPr>
              <w:spacing w:line="600" w:lineRule="exact"/>
              <w:ind w:firstLine="640" w:firstLineChars="200"/>
              <w:rPr>
                <w:rFonts w:hint="eastAsia"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lang w:val="en-US" w:eastAsia="zh-CN"/>
              </w:rPr>
              <w:t>单位性质</w:t>
            </w:r>
          </w:p>
        </w:tc>
      </w:tr>
      <w:tr w14:paraId="24587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4" w:type="dxa"/>
          </w:tcPr>
          <w:p w14:paraId="6C5FD2E5">
            <w:pPr>
              <w:spacing w:line="600" w:lineRule="exact"/>
              <w:ind w:firstLine="640" w:firstLineChars="200"/>
              <w:rPr>
                <w:rFonts w:hint="eastAsia"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lang w:val="en-US" w:eastAsia="zh-CN"/>
              </w:rPr>
              <w:t>1</w:t>
            </w:r>
          </w:p>
        </w:tc>
        <w:tc>
          <w:tcPr>
            <w:tcW w:w="3845" w:type="dxa"/>
          </w:tcPr>
          <w:p w14:paraId="74BE90D3">
            <w:pPr>
              <w:spacing w:line="600" w:lineRule="exact"/>
              <w:rPr>
                <w:rFonts w:hint="eastAsia"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lang w:val="en-US" w:eastAsia="zh-CN"/>
              </w:rPr>
              <w:t>内蒙古医科大学附属敕勒川医院</w:t>
            </w:r>
          </w:p>
        </w:tc>
        <w:tc>
          <w:tcPr>
            <w:tcW w:w="3267" w:type="dxa"/>
          </w:tcPr>
          <w:p w14:paraId="4773B6CF">
            <w:pPr>
              <w:spacing w:line="600" w:lineRule="exact"/>
              <w:rPr>
                <w:rFonts w:hint="default"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lang w:val="en-US" w:eastAsia="zh-CN"/>
              </w:rPr>
              <w:t>公益二类事业单位</w:t>
            </w:r>
          </w:p>
        </w:tc>
      </w:tr>
    </w:tbl>
    <w:p w14:paraId="1D7BDF18">
      <w:pPr>
        <w:spacing w:line="600" w:lineRule="exact"/>
        <w:ind w:firstLine="640" w:firstLineChars="200"/>
        <w:rPr>
          <w:rFonts w:hint="eastAsia" w:eastAsia="仿宋_GB2312" w:cstheme="minorBidi"/>
          <w:color w:val="auto"/>
          <w:sz w:val="32"/>
          <w:szCs w:val="32"/>
          <w:highlight w:val="none"/>
          <w:u w:val="none"/>
          <w:lang w:val="en-US" w:eastAsia="zh-CN"/>
        </w:rPr>
      </w:pPr>
      <w:r>
        <w:rPr>
          <w:rFonts w:hint="eastAsia" w:eastAsia="仿宋_GB2312" w:cstheme="minorBidi"/>
          <w:color w:val="auto"/>
          <w:sz w:val="32"/>
          <w:szCs w:val="32"/>
          <w:highlight w:val="none"/>
          <w:u w:val="none"/>
        </w:rPr>
        <w:t>预算事业编制数</w:t>
      </w:r>
      <w:r>
        <w:rPr>
          <w:rFonts w:hint="eastAsia" w:eastAsia="仿宋_GB2312" w:cstheme="minorBidi"/>
          <w:color w:val="auto"/>
          <w:sz w:val="32"/>
          <w:szCs w:val="32"/>
          <w:highlight w:val="none"/>
          <w:u w:val="none"/>
          <w:lang w:val="en-US" w:eastAsia="zh-CN"/>
        </w:rPr>
        <w:t>无</w:t>
      </w:r>
      <w:r>
        <w:rPr>
          <w:rFonts w:hint="eastAsia" w:eastAsia="仿宋_GB2312" w:cstheme="minorBidi"/>
          <w:color w:val="auto"/>
          <w:sz w:val="32"/>
          <w:szCs w:val="32"/>
          <w:highlight w:val="none"/>
          <w:u w:val="none"/>
        </w:rPr>
        <w:t>。截止202</w:t>
      </w:r>
      <w:r>
        <w:rPr>
          <w:rFonts w:hint="eastAsia" w:eastAsia="仿宋_GB2312" w:cstheme="minorBidi"/>
          <w:color w:val="auto"/>
          <w:sz w:val="32"/>
          <w:szCs w:val="32"/>
          <w:highlight w:val="none"/>
          <w:u w:val="none"/>
          <w:lang w:val="en-US" w:eastAsia="zh-CN"/>
        </w:rPr>
        <w:t>5</w:t>
      </w:r>
      <w:r>
        <w:rPr>
          <w:rFonts w:hint="eastAsia" w:eastAsia="仿宋_GB2312" w:cstheme="minorBidi"/>
          <w:color w:val="auto"/>
          <w:sz w:val="32"/>
          <w:szCs w:val="32"/>
          <w:highlight w:val="none"/>
          <w:u w:val="none"/>
        </w:rPr>
        <w:t>年12月末实有人数</w:t>
      </w:r>
      <w:r>
        <w:rPr>
          <w:rFonts w:hint="eastAsia" w:eastAsia="仿宋_GB2312" w:cstheme="minorBidi"/>
          <w:color w:val="auto"/>
          <w:sz w:val="32"/>
          <w:szCs w:val="32"/>
          <w:highlight w:val="none"/>
          <w:u w:val="none"/>
          <w:lang w:val="en-US" w:eastAsia="zh-CN"/>
        </w:rPr>
        <w:t>无</w:t>
      </w:r>
    </w:p>
    <w:p w14:paraId="1E7E1CA8">
      <w:pPr>
        <w:numPr>
          <w:ilvl w:val="0"/>
          <w:numId w:val="1"/>
        </w:numPr>
        <w:spacing w:line="600" w:lineRule="exact"/>
        <w:ind w:left="17" w:leftChars="8" w:firstLine="624" w:firstLineChars="195"/>
        <w:outlineLvl w:val="2"/>
        <w:rPr>
          <w:rFonts w:eastAsia="黑体" w:cs="黑体"/>
          <w:color w:val="auto"/>
          <w:sz w:val="32"/>
          <w:szCs w:val="36"/>
          <w:highlight w:val="none"/>
          <w:u w:val="none"/>
        </w:rPr>
      </w:pPr>
      <w:r>
        <w:rPr>
          <w:rFonts w:hint="eastAsia" w:ascii="仿宋_GB2312" w:hAnsi="仿宋_GB2312" w:eastAsia="黑体" w:cs="黑体"/>
          <w:color w:val="auto"/>
          <w:sz w:val="32"/>
          <w:szCs w:val="36"/>
          <w:highlight w:val="none"/>
          <w:u w:val="none"/>
          <w:lang w:val="en-US" w:eastAsia="zh-CN"/>
        </w:rPr>
        <w:t>2026</w:t>
      </w:r>
      <w:r>
        <w:rPr>
          <w:rFonts w:hint="eastAsia" w:eastAsia="黑体" w:cs="黑体"/>
          <w:color w:val="auto"/>
          <w:sz w:val="32"/>
          <w:szCs w:val="36"/>
          <w:highlight w:val="none"/>
          <w:u w:val="none"/>
        </w:rPr>
        <w:t>年度部门（单位）主要工作任务及目标</w:t>
      </w:r>
    </w:p>
    <w:p w14:paraId="0868983F">
      <w:pPr>
        <w:spacing w:line="600" w:lineRule="exact"/>
        <w:ind w:firstLine="640" w:firstLineChars="200"/>
        <w:rPr>
          <w:rFonts w:hint="default" w:eastAsia="仿宋_GB2312" w:cstheme="minorBidi"/>
          <w:color w:val="auto"/>
          <w:sz w:val="32"/>
          <w:szCs w:val="32"/>
          <w:highlight w:val="none"/>
          <w:u w:val="none"/>
          <w:lang w:val="en-US" w:eastAsia="zh-CN"/>
        </w:rPr>
      </w:pPr>
    </w:p>
    <w:p w14:paraId="52B5C061">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color w:val="auto"/>
          <w:sz w:val="36"/>
          <w:szCs w:val="36"/>
          <w:highlight w:val="none"/>
          <w:u w:val="none"/>
        </w:rPr>
      </w:pPr>
      <w:bookmarkStart w:id="1" w:name="_Toc21288"/>
      <w:r>
        <w:rPr>
          <w:rFonts w:hint="eastAsia" w:ascii="方正小标宋简体" w:hAnsi="方正小标宋简体" w:eastAsia="方正小标宋简体" w:cs="方正小标宋简体"/>
          <w:b w:val="0"/>
          <w:bCs w:val="0"/>
          <w:color w:val="auto"/>
          <w:sz w:val="36"/>
          <w:szCs w:val="36"/>
          <w:highlight w:val="none"/>
          <w:u w:val="none"/>
        </w:rPr>
        <w:t>第二部分</w:t>
      </w:r>
      <w:r>
        <w:rPr>
          <w:rFonts w:hint="eastAsia" w:ascii="方正小标宋简体" w:hAnsi="方正小标宋简体" w:eastAsia="方正小标宋简体" w:cs="方正小标宋简体"/>
          <w:b w:val="0"/>
          <w:bCs w:val="0"/>
          <w:color w:val="auto"/>
          <w:sz w:val="36"/>
          <w:szCs w:val="36"/>
          <w:highlight w:val="none"/>
          <w:u w:val="none"/>
          <w:lang w:val="en-US" w:eastAsia="zh-CN"/>
        </w:rPr>
        <w:t xml:space="preserve">  2026</w:t>
      </w:r>
      <w:r>
        <w:rPr>
          <w:rFonts w:hint="eastAsia" w:ascii="方正小标宋简体" w:hAnsi="方正小标宋简体" w:eastAsia="方正小标宋简体" w:cs="方正小标宋简体"/>
          <w:b w:val="0"/>
          <w:bCs w:val="0"/>
          <w:color w:val="auto"/>
          <w:sz w:val="36"/>
          <w:szCs w:val="36"/>
          <w:highlight w:val="none"/>
          <w:u w:val="none"/>
        </w:rPr>
        <w:t>年度部门（单位）预算情况说明</w:t>
      </w:r>
      <w:bookmarkEnd w:id="1"/>
    </w:p>
    <w:p w14:paraId="131963A0">
      <w:pPr>
        <w:spacing w:line="600" w:lineRule="exact"/>
        <w:rPr>
          <w:rFonts w:ascii="方正小标宋简体" w:hAnsi="方正小标宋简体" w:eastAsia="方正小标宋简体" w:cs="方正小标宋简体"/>
          <w:color w:val="auto"/>
          <w:sz w:val="36"/>
          <w:szCs w:val="36"/>
          <w:highlight w:val="none"/>
          <w:u w:val="none"/>
        </w:rPr>
      </w:pPr>
    </w:p>
    <w:p w14:paraId="2BBE6D75">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一、收支预算总体情况说明</w:t>
      </w:r>
    </w:p>
    <w:p w14:paraId="5BCC8027">
      <w:pPr>
        <w:pStyle w:val="8"/>
        <w:tabs>
          <w:tab w:val="left" w:pos="5840"/>
          <w:tab w:val="left" w:pos="7858"/>
          <w:tab w:val="left" w:pos="9328"/>
        </w:tabs>
        <w:spacing w:after="0" w:line="600" w:lineRule="exact"/>
        <w:ind w:firstLine="640" w:firstLineChars="200"/>
        <w:rPr>
          <w:rFonts w:ascii="仿宋_GB2312" w:hAnsi="仿宋_GB2312" w:eastAsia="仿宋_GB2312" w:cs="仿宋_GB2312"/>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内蒙古医科大学附属敕勒川医院2026</w:t>
      </w:r>
      <w:r>
        <w:rPr>
          <w:rFonts w:hint="eastAsia" w:ascii="仿宋_GB2312" w:hAnsi="仿宋_GB2312" w:eastAsia="仿宋_GB2312" w:cs="仿宋_GB2312"/>
          <w:color w:val="auto"/>
          <w:sz w:val="32"/>
          <w:szCs w:val="32"/>
          <w:highlight w:val="none"/>
          <w:u w:val="none"/>
        </w:rPr>
        <w:t xml:space="preserve">年度收入、支出预算总计 </w:t>
      </w:r>
      <w:r>
        <w:rPr>
          <w:rFonts w:hint="eastAsia" w:ascii="仿宋_GB2312" w:hAnsi="仿宋_GB2312" w:eastAsia="仿宋_GB2312" w:cs="仿宋_GB2312"/>
          <w:color w:val="auto"/>
          <w:sz w:val="32"/>
          <w:szCs w:val="32"/>
          <w:highlight w:val="none"/>
          <w:u w:val="none"/>
          <w:lang w:val="en-US" w:eastAsia="zh-CN"/>
        </w:rPr>
        <w:t>10000</w:t>
      </w:r>
      <w:r>
        <w:rPr>
          <w:rFonts w:hint="eastAsia" w:ascii="仿宋_GB2312" w:hAnsi="仿宋_GB2312" w:eastAsia="仿宋_GB2312" w:cs="仿宋_GB2312"/>
          <w:color w:val="auto"/>
          <w:sz w:val="32"/>
          <w:szCs w:val="32"/>
          <w:highlight w:val="none"/>
          <w:u w:val="none"/>
        </w:rPr>
        <w:t>万元，与上年相比收、支预算总计各增加</w:t>
      </w:r>
      <w:r>
        <w:rPr>
          <w:rFonts w:hint="eastAsia" w:ascii="仿宋_GB2312" w:hAnsi="仿宋_GB2312" w:eastAsia="仿宋_GB2312" w:cs="仿宋_GB2312"/>
          <w:color w:val="auto"/>
          <w:sz w:val="32"/>
          <w:szCs w:val="32"/>
          <w:highlight w:val="none"/>
          <w:u w:val="none"/>
          <w:lang w:val="en-US" w:eastAsia="zh-CN"/>
        </w:rPr>
        <w:t>10000</w:t>
      </w:r>
      <w:r>
        <w:rPr>
          <w:rFonts w:hint="eastAsia" w:ascii="仿宋_GB2312" w:hAnsi="仿宋_GB2312" w:eastAsia="仿宋_GB2312" w:cs="仿宋_GB2312"/>
          <w:color w:val="auto"/>
          <w:sz w:val="32"/>
          <w:szCs w:val="32"/>
          <w:highlight w:val="none"/>
          <w:u w:val="none"/>
        </w:rPr>
        <w:t>万元。其中：</w:t>
      </w:r>
    </w:p>
    <w:p w14:paraId="77DCFB6A">
      <w:pPr>
        <w:pStyle w:val="8"/>
        <w:tabs>
          <w:tab w:val="left" w:pos="4275"/>
        </w:tabs>
        <w:spacing w:after="0" w:line="600" w:lineRule="exact"/>
        <w:ind w:firstLine="643" w:firstLineChars="200"/>
        <w:rPr>
          <w:rFonts w:ascii="楷体" w:hAnsi="楷体" w:eastAsia="楷体" w:cs="楷体"/>
          <w:b/>
          <w:bCs/>
          <w:color w:val="auto"/>
          <w:sz w:val="32"/>
          <w:szCs w:val="32"/>
          <w:highlight w:val="none"/>
          <w:u w:val="none"/>
        </w:rPr>
      </w:pPr>
      <w:r>
        <w:rPr>
          <w:rFonts w:hint="eastAsia" w:ascii="楷体" w:hAnsi="楷体" w:eastAsia="楷体" w:cs="楷体"/>
          <w:b/>
          <w:bCs/>
          <w:color w:val="auto"/>
          <w:sz w:val="32"/>
          <w:szCs w:val="32"/>
          <w:highlight w:val="none"/>
          <w:u w:val="none"/>
        </w:rPr>
        <w:t>（一）收入预算总计</w:t>
      </w:r>
      <w:r>
        <w:rPr>
          <w:rFonts w:hint="eastAsia" w:ascii="Times New Roman" w:hAnsi="Times New Roman" w:eastAsia="仿宋_GB2312" w:cs="仿宋"/>
          <w:color w:val="auto"/>
          <w:sz w:val="32"/>
          <w:szCs w:val="32"/>
          <w:highlight w:val="none"/>
          <w:u w:val="none"/>
        </w:rPr>
        <w:t xml:space="preserve"> </w:t>
      </w:r>
      <w:r>
        <w:rPr>
          <w:rFonts w:hint="eastAsia" w:ascii="仿宋_GB2312" w:hAnsi="仿宋_GB2312" w:eastAsia="仿宋_GB2312" w:cs="仿宋_GB2312"/>
          <w:b/>
          <w:bCs/>
          <w:color w:val="auto"/>
          <w:sz w:val="32"/>
          <w:szCs w:val="32"/>
          <w:highlight w:val="none"/>
          <w:u w:val="none"/>
          <w:lang w:val="en-US" w:eastAsia="zh-CN"/>
        </w:rPr>
        <w:t>10000</w:t>
      </w:r>
      <w:r>
        <w:rPr>
          <w:rFonts w:hint="eastAsia" w:ascii="楷体" w:hAnsi="楷体" w:eastAsia="楷体" w:cs="楷体"/>
          <w:b/>
          <w:bCs/>
          <w:color w:val="auto"/>
          <w:sz w:val="32"/>
          <w:szCs w:val="32"/>
          <w:highlight w:val="none"/>
          <w:u w:val="none"/>
        </w:rPr>
        <w:t>万元。包括：</w:t>
      </w:r>
    </w:p>
    <w:p w14:paraId="747C1662">
      <w:pPr>
        <w:pStyle w:val="8"/>
        <w:tabs>
          <w:tab w:val="left" w:pos="3792"/>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 xml:space="preserve">1．本年收入合计 </w:t>
      </w:r>
      <w:r>
        <w:rPr>
          <w:rFonts w:hint="eastAsia" w:ascii="仿宋_GB2312" w:hAnsi="仿宋_GB2312" w:eastAsia="仿宋_GB2312" w:cs="仿宋_GB2312"/>
          <w:color w:val="auto"/>
          <w:sz w:val="32"/>
          <w:szCs w:val="32"/>
          <w:highlight w:val="none"/>
          <w:u w:val="none"/>
          <w:lang w:val="en-US" w:eastAsia="zh-CN"/>
        </w:rPr>
        <w:t xml:space="preserve">10000 </w:t>
      </w:r>
      <w:r>
        <w:rPr>
          <w:rFonts w:eastAsia="仿宋_GB2312"/>
          <w:color w:val="auto"/>
          <w:sz w:val="32"/>
          <w:szCs w:val="32"/>
          <w:highlight w:val="none"/>
          <w:u w:val="none"/>
        </w:rPr>
        <w:t xml:space="preserve"> 万元。</w:t>
      </w:r>
    </w:p>
    <w:p w14:paraId="10B1E07C">
      <w:pPr>
        <w:pStyle w:val="8"/>
        <w:tabs>
          <w:tab w:val="left" w:pos="1389"/>
          <w:tab w:val="left" w:pos="4911"/>
          <w:tab w:val="left" w:pos="5898"/>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 xml:space="preserve">（1）一般公共预算拨款收入 </w:t>
      </w:r>
      <w:r>
        <w:rPr>
          <w:rFonts w:hint="eastAsia" w:eastAsia="仿宋_GB2312"/>
          <w:color w:val="auto"/>
          <w:sz w:val="32"/>
          <w:szCs w:val="32"/>
          <w:highlight w:val="none"/>
          <w:u w:val="none"/>
          <w:lang w:val="en-US" w:eastAsia="zh-CN"/>
        </w:rPr>
        <w:t>10000</w:t>
      </w:r>
      <w:r>
        <w:rPr>
          <w:rFonts w:eastAsia="仿宋_GB2312"/>
          <w:color w:val="auto"/>
          <w:sz w:val="32"/>
          <w:szCs w:val="32"/>
          <w:highlight w:val="none"/>
          <w:u w:val="none"/>
        </w:rPr>
        <w:t xml:space="preserve"> 万元，与上年相比增加 </w:t>
      </w:r>
      <w:r>
        <w:rPr>
          <w:rFonts w:hint="eastAsia" w:eastAsia="仿宋_GB2312"/>
          <w:color w:val="auto"/>
          <w:sz w:val="32"/>
          <w:szCs w:val="32"/>
          <w:highlight w:val="none"/>
          <w:u w:val="none"/>
          <w:lang w:val="en-US" w:eastAsia="zh-CN"/>
        </w:rPr>
        <w:t>10000</w:t>
      </w:r>
      <w:r>
        <w:rPr>
          <w:rFonts w:eastAsia="仿宋_GB2312"/>
          <w:color w:val="auto"/>
          <w:sz w:val="32"/>
          <w:szCs w:val="32"/>
          <w:highlight w:val="none"/>
          <w:u w:val="none"/>
        </w:rPr>
        <w:t>万元。主要原因是</w:t>
      </w:r>
      <w:r>
        <w:rPr>
          <w:rFonts w:hint="eastAsia" w:eastAsia="仿宋_GB2312"/>
          <w:color w:val="auto"/>
          <w:sz w:val="32"/>
          <w:szCs w:val="32"/>
          <w:highlight w:val="none"/>
          <w:u w:val="none"/>
          <w:lang w:val="en-US" w:eastAsia="zh-CN"/>
        </w:rPr>
        <w:t>我单位为2026年新增设单位</w:t>
      </w:r>
      <w:r>
        <w:rPr>
          <w:rFonts w:eastAsia="仿宋_GB2312"/>
          <w:color w:val="auto"/>
          <w:sz w:val="32"/>
          <w:szCs w:val="32"/>
          <w:highlight w:val="none"/>
          <w:u w:val="none"/>
        </w:rPr>
        <w:t>。</w:t>
      </w:r>
    </w:p>
    <w:p w14:paraId="2FD621C3">
      <w:pPr>
        <w:pStyle w:val="8"/>
        <w:tabs>
          <w:tab w:val="left" w:pos="1389"/>
          <w:tab w:val="left" w:pos="4911"/>
          <w:tab w:val="left" w:pos="5991"/>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（2）政府性基金预算拨款收入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万元，与上年相比增加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14:paraId="12BA04EF">
      <w:pPr>
        <w:pStyle w:val="8"/>
        <w:tabs>
          <w:tab w:val="left" w:pos="1389"/>
          <w:tab w:val="left" w:pos="4911"/>
          <w:tab w:val="left" w:pos="6205"/>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（3）国有资本经营预算拨款收入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万元，与上年相比增加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14:paraId="2AEB9A04">
      <w:pPr>
        <w:pStyle w:val="8"/>
        <w:tabs>
          <w:tab w:val="left" w:pos="1389"/>
          <w:tab w:val="left" w:pos="4911"/>
          <w:tab w:val="left" w:pos="5898"/>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 xml:space="preserve">（4）财政专户管理资金收入 </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万元，与上年相比增加  </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14:paraId="043967CE">
      <w:pPr>
        <w:pStyle w:val="8"/>
        <w:tabs>
          <w:tab w:val="left" w:pos="3310"/>
          <w:tab w:val="left" w:pos="3807"/>
          <w:tab w:val="left" w:pos="9433"/>
        </w:tabs>
        <w:spacing w:after="0" w:line="600" w:lineRule="exact"/>
        <w:ind w:firstLine="640" w:firstLineChars="200"/>
        <w:rPr>
          <w:rFonts w:hint="eastAsia" w:ascii="仿宋_GB2312" w:hAnsi="仿宋_GB2312" w:eastAsia="仿宋_GB2312"/>
          <w:color w:val="auto"/>
          <w:sz w:val="32"/>
          <w:szCs w:val="24"/>
          <w:highlight w:val="none"/>
          <w:u w:val="none"/>
        </w:rPr>
      </w:pPr>
      <w:r>
        <w:rPr>
          <w:rFonts w:eastAsia="仿宋_GB2312"/>
          <w:color w:val="auto"/>
          <w:sz w:val="32"/>
          <w:szCs w:val="32"/>
          <w:highlight w:val="none"/>
          <w:u w:val="none"/>
        </w:rPr>
        <w:t>（5）事业收入</w:t>
      </w:r>
      <w:r>
        <w:rPr>
          <w:rFonts w:hint="eastAsia" w:eastAsia="仿宋_GB2312"/>
          <w:color w:val="auto"/>
          <w:sz w:val="32"/>
          <w:szCs w:val="32"/>
          <w:highlight w:val="none"/>
          <w:u w:val="none"/>
          <w:lang w:val="en-US" w:eastAsia="zh-CN"/>
        </w:rPr>
        <w:t xml:space="preserve"> </w:t>
      </w:r>
      <w:r>
        <w:rPr>
          <w:rFonts w:eastAsia="仿宋_GB2312"/>
          <w:color w:val="auto"/>
          <w:sz w:val="32"/>
          <w:szCs w:val="32"/>
          <w:highlight w:val="none"/>
          <w:u w:val="none"/>
        </w:rPr>
        <w:t>万元，与上年相比增加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万元，增长 </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。主要原因是</w:t>
      </w:r>
      <w:r>
        <w:rPr>
          <w:rFonts w:hint="eastAsia" w:eastAsia="仿宋_GB2312"/>
          <w:color w:val="auto"/>
          <w:sz w:val="32"/>
          <w:szCs w:val="32"/>
          <w:highlight w:val="none"/>
          <w:u w:val="none"/>
          <w:lang w:val="en-US" w:eastAsia="zh-CN"/>
        </w:rPr>
        <w:t>我单位2026年仍在建设阶段，尚未运营</w:t>
      </w:r>
      <w:r>
        <w:rPr>
          <w:rFonts w:hint="eastAsia" w:ascii="仿宋_GB2312" w:hAnsi="仿宋_GB2312" w:eastAsia="仿宋_GB2312"/>
          <w:color w:val="auto"/>
          <w:sz w:val="32"/>
          <w:szCs w:val="24"/>
          <w:highlight w:val="none"/>
          <w:u w:val="none"/>
          <w:lang w:val="en-US" w:eastAsia="zh-CN"/>
        </w:rPr>
        <w:t>。</w:t>
      </w:r>
    </w:p>
    <w:p w14:paraId="3900631F">
      <w:pPr>
        <w:pStyle w:val="8"/>
        <w:tabs>
          <w:tab w:val="left" w:pos="1389"/>
          <w:tab w:val="left" w:pos="4911"/>
          <w:tab w:val="left" w:pos="590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（6）事业单位经营收入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万元，与上年相比增加 </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14:paraId="62EE6A43">
      <w:pPr>
        <w:pStyle w:val="8"/>
        <w:tabs>
          <w:tab w:val="left" w:pos="4320"/>
          <w:tab w:val="left" w:pos="9433"/>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（7）上级补助收入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万元，与上年相比增加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14:paraId="7AF4B38A">
      <w:pPr>
        <w:pStyle w:val="8"/>
        <w:tabs>
          <w:tab w:val="left" w:pos="1389"/>
          <w:tab w:val="left" w:pos="4911"/>
          <w:tab w:val="left" w:pos="590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（8）附属单位上缴收入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万元，与上年相比增加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万元，增长</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r>
        <w:rPr>
          <w:rFonts w:hint="eastAsia" w:eastAsia="仿宋_GB2312"/>
          <w:color w:val="auto"/>
          <w:sz w:val="32"/>
          <w:szCs w:val="32"/>
          <w:highlight w:val="none"/>
          <w:u w:val="none"/>
          <w:lang w:val="en-US" w:eastAsia="zh-CN"/>
        </w:rPr>
        <w:t>我单位</w:t>
      </w:r>
      <w:r>
        <w:rPr>
          <w:rFonts w:hint="eastAsia" w:ascii="仿宋_GB2312" w:hAnsi="仿宋_GB2312" w:eastAsia="仿宋_GB2312"/>
          <w:color w:val="auto"/>
          <w:sz w:val="32"/>
          <w:szCs w:val="24"/>
          <w:highlight w:val="none"/>
          <w:u w:val="none"/>
        </w:rPr>
        <w:t>不存在此项内容</w:t>
      </w:r>
      <w:r>
        <w:rPr>
          <w:rFonts w:eastAsia="仿宋_GB2312"/>
          <w:color w:val="auto"/>
          <w:sz w:val="32"/>
          <w:szCs w:val="32"/>
          <w:highlight w:val="none"/>
          <w:u w:val="none"/>
        </w:rPr>
        <w:t>。</w:t>
      </w:r>
    </w:p>
    <w:p w14:paraId="365F7300">
      <w:pPr>
        <w:pStyle w:val="8"/>
        <w:tabs>
          <w:tab w:val="left" w:pos="3310"/>
          <w:tab w:val="left" w:pos="4121"/>
          <w:tab w:val="left" w:pos="9431"/>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（9）其他收入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万元，与上年相比减少 </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万元，减少</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05D6D6B8">
      <w:pPr>
        <w:pStyle w:val="8"/>
        <w:tabs>
          <w:tab w:val="left" w:pos="3310"/>
          <w:tab w:val="left" w:pos="4280"/>
          <w:tab w:val="left" w:pos="9431"/>
        </w:tabs>
        <w:spacing w:after="0" w:line="600" w:lineRule="exact"/>
        <w:ind w:firstLine="640" w:firstLineChars="200"/>
        <w:rPr>
          <w:rFonts w:hint="default" w:eastAsia="仿宋_GB2312"/>
          <w:color w:val="auto"/>
          <w:sz w:val="32"/>
          <w:szCs w:val="32"/>
          <w:highlight w:val="none"/>
          <w:u w:val="none"/>
          <w:lang w:val="en-US" w:eastAsia="zh-CN"/>
        </w:rPr>
      </w:pPr>
      <w:r>
        <w:rPr>
          <w:rFonts w:eastAsia="仿宋_GB2312"/>
          <w:color w:val="auto"/>
          <w:sz w:val="32"/>
          <w:szCs w:val="32"/>
          <w:highlight w:val="none"/>
          <w:u w:val="none"/>
        </w:rPr>
        <w:t xml:space="preserve">2．上年结转结余 </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万元。与上年相比</w:t>
      </w:r>
      <w:r>
        <w:rPr>
          <w:rFonts w:hint="eastAsia" w:eastAsia="仿宋_GB2312"/>
          <w:color w:val="auto"/>
          <w:sz w:val="32"/>
          <w:szCs w:val="32"/>
          <w:highlight w:val="none"/>
          <w:u w:val="none"/>
          <w:lang w:val="en-US" w:eastAsia="zh-CN"/>
        </w:rPr>
        <w:t>增加0</w:t>
      </w:r>
      <w:r>
        <w:rPr>
          <w:rFonts w:eastAsia="仿宋_GB2312"/>
          <w:color w:val="auto"/>
          <w:sz w:val="32"/>
          <w:szCs w:val="32"/>
          <w:highlight w:val="none"/>
          <w:u w:val="none"/>
        </w:rPr>
        <w:t xml:space="preserve"> 万元，减少</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。主要原因是</w:t>
      </w:r>
      <w:r>
        <w:rPr>
          <w:rFonts w:hint="eastAsia" w:eastAsia="仿宋_GB2312"/>
          <w:color w:val="auto"/>
          <w:sz w:val="32"/>
          <w:szCs w:val="32"/>
          <w:highlight w:val="none"/>
          <w:u w:val="none"/>
          <w:lang w:val="en-US" w:eastAsia="zh-CN"/>
        </w:rPr>
        <w:t>2025年我单位尚未建立，也未建设。</w:t>
      </w:r>
    </w:p>
    <w:p w14:paraId="1F815344">
      <w:pPr>
        <w:pStyle w:val="8"/>
        <w:tabs>
          <w:tab w:val="left" w:pos="4275"/>
        </w:tabs>
        <w:spacing w:after="0" w:line="600" w:lineRule="exact"/>
        <w:ind w:firstLine="643" w:firstLineChars="200"/>
        <w:rPr>
          <w:rFonts w:ascii="楷体" w:hAnsi="楷体" w:eastAsia="楷体" w:cs="楷体"/>
          <w:b/>
          <w:bCs/>
          <w:color w:val="auto"/>
          <w:sz w:val="32"/>
          <w:szCs w:val="32"/>
          <w:highlight w:val="none"/>
          <w:u w:val="none"/>
        </w:rPr>
      </w:pPr>
      <w:r>
        <w:rPr>
          <w:rFonts w:hint="eastAsia" w:ascii="楷体" w:hAnsi="楷体" w:eastAsia="楷体" w:cs="楷体"/>
          <w:b/>
          <w:bCs/>
          <w:color w:val="auto"/>
          <w:sz w:val="32"/>
          <w:szCs w:val="32"/>
          <w:highlight w:val="none"/>
          <w:u w:val="none"/>
        </w:rPr>
        <w:t>（二）支出预算总计</w:t>
      </w:r>
      <w:r>
        <w:rPr>
          <w:rFonts w:hint="eastAsia" w:ascii="Times New Roman" w:hAnsi="Times New Roman" w:eastAsia="仿宋_GB2312" w:cs="仿宋"/>
          <w:color w:val="auto"/>
          <w:sz w:val="32"/>
          <w:szCs w:val="32"/>
          <w:highlight w:val="none"/>
          <w:u w:val="none"/>
        </w:rPr>
        <w:t xml:space="preserve"> </w:t>
      </w:r>
      <w:r>
        <w:rPr>
          <w:rFonts w:hint="eastAsia" w:eastAsia="仿宋_GB2312" w:cs="仿宋"/>
          <w:color w:val="auto"/>
          <w:sz w:val="32"/>
          <w:szCs w:val="32"/>
          <w:highlight w:val="none"/>
          <w:u w:val="none"/>
          <w:lang w:val="en-US" w:eastAsia="zh-CN"/>
        </w:rPr>
        <w:t>10000</w:t>
      </w:r>
      <w:r>
        <w:rPr>
          <w:rFonts w:hint="eastAsia" w:ascii="楷体" w:hAnsi="楷体" w:eastAsia="楷体" w:cs="楷体"/>
          <w:b/>
          <w:bCs/>
          <w:color w:val="auto"/>
          <w:sz w:val="32"/>
          <w:szCs w:val="32"/>
          <w:highlight w:val="none"/>
          <w:u w:val="none"/>
        </w:rPr>
        <w:t>万元。包括：</w:t>
      </w:r>
    </w:p>
    <w:p w14:paraId="77BC23AD">
      <w:pPr>
        <w:pStyle w:val="8"/>
        <w:tabs>
          <w:tab w:val="left" w:pos="3792"/>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1．本年支出合计</w:t>
      </w:r>
      <w:r>
        <w:rPr>
          <w:rFonts w:hint="eastAsia" w:eastAsia="仿宋_GB2312"/>
          <w:color w:val="auto"/>
          <w:sz w:val="32"/>
          <w:szCs w:val="32"/>
          <w:highlight w:val="none"/>
          <w:u w:val="none"/>
          <w:lang w:val="en-US" w:eastAsia="zh-CN"/>
        </w:rPr>
        <w:t>10000</w:t>
      </w:r>
      <w:r>
        <w:rPr>
          <w:rFonts w:eastAsia="仿宋_GB2312"/>
          <w:color w:val="auto"/>
          <w:sz w:val="32"/>
          <w:szCs w:val="32"/>
          <w:highlight w:val="none"/>
          <w:u w:val="none"/>
        </w:rPr>
        <w:t>万元。</w:t>
      </w:r>
    </w:p>
    <w:p w14:paraId="496705C7">
      <w:pPr>
        <w:pStyle w:val="8"/>
        <w:tabs>
          <w:tab w:val="left" w:pos="2671"/>
          <w:tab w:val="left" w:pos="5000"/>
          <w:tab w:val="left" w:pos="6190"/>
        </w:tabs>
        <w:spacing w:after="0" w:line="600" w:lineRule="exact"/>
        <w:ind w:firstLine="640" w:firstLineChars="200"/>
        <w:rPr>
          <w:rFonts w:hint="default" w:eastAsia="仿宋_GB2312"/>
          <w:color w:val="auto"/>
          <w:sz w:val="32"/>
          <w:szCs w:val="32"/>
          <w:highlight w:val="none"/>
          <w:u w:val="none"/>
          <w:lang w:val="en-US" w:eastAsia="zh-CN"/>
        </w:rPr>
      </w:pPr>
      <w:r>
        <w:rPr>
          <w:rFonts w:hint="eastAsia" w:eastAsia="仿宋_GB2312"/>
          <w:color w:val="auto"/>
          <w:sz w:val="32"/>
          <w:szCs w:val="32"/>
          <w:highlight w:val="none"/>
          <w:u w:val="none"/>
          <w:lang w:eastAsia="zh-CN"/>
        </w:rPr>
        <w:t>（</w:t>
      </w:r>
      <w:r>
        <w:rPr>
          <w:rFonts w:hint="eastAsia" w:eastAsia="仿宋_GB2312"/>
          <w:color w:val="auto"/>
          <w:sz w:val="32"/>
          <w:szCs w:val="32"/>
          <w:highlight w:val="none"/>
          <w:u w:val="none"/>
          <w:lang w:val="en-US" w:eastAsia="zh-CN"/>
        </w:rPr>
        <w:t>1</w:t>
      </w:r>
      <w:r>
        <w:rPr>
          <w:rFonts w:hint="eastAsia" w:eastAsia="仿宋_GB2312"/>
          <w:color w:val="auto"/>
          <w:sz w:val="32"/>
          <w:szCs w:val="32"/>
          <w:highlight w:val="none"/>
          <w:u w:val="none"/>
          <w:lang w:eastAsia="zh-CN"/>
        </w:rPr>
        <w:t>）</w:t>
      </w:r>
      <w:r>
        <w:rPr>
          <w:rFonts w:hint="eastAsia" w:eastAsia="仿宋_GB2312"/>
          <w:color w:val="auto"/>
          <w:sz w:val="32"/>
          <w:szCs w:val="32"/>
          <w:highlight w:val="none"/>
          <w:u w:val="none"/>
          <w:lang w:val="en-US" w:eastAsia="zh-CN"/>
        </w:rPr>
        <w:t>卫生健康支出10000</w:t>
      </w:r>
      <w:r>
        <w:rPr>
          <w:rFonts w:eastAsia="仿宋_GB2312"/>
          <w:color w:val="auto"/>
          <w:sz w:val="32"/>
          <w:szCs w:val="32"/>
          <w:highlight w:val="none"/>
          <w:u w:val="none"/>
        </w:rPr>
        <w:t>万元，主要用于</w:t>
      </w:r>
      <w:r>
        <w:rPr>
          <w:rFonts w:hint="eastAsia" w:ascii="仿宋_GB2312" w:hAnsi="仿宋_GB2312" w:eastAsia="仿宋_GB2312"/>
          <w:color w:val="auto"/>
          <w:sz w:val="32"/>
          <w:szCs w:val="32"/>
          <w:highlight w:val="none"/>
          <w:u w:val="none"/>
          <w:lang w:val="en-US" w:eastAsia="zh-CN"/>
        </w:rPr>
        <w:t>城市综合医院卫生健康事务支出</w:t>
      </w:r>
      <w:r>
        <w:rPr>
          <w:rFonts w:eastAsia="仿宋_GB2312"/>
          <w:color w:val="auto"/>
          <w:sz w:val="32"/>
          <w:szCs w:val="32"/>
          <w:highlight w:val="none"/>
          <w:u w:val="none"/>
        </w:rPr>
        <w:t>。与上年相比增加</w:t>
      </w:r>
      <w:r>
        <w:rPr>
          <w:rFonts w:hint="eastAsia" w:eastAsia="仿宋_GB2312"/>
          <w:color w:val="auto"/>
          <w:sz w:val="32"/>
          <w:szCs w:val="32"/>
          <w:highlight w:val="none"/>
          <w:u w:val="none"/>
          <w:lang w:val="en-US" w:eastAsia="zh-CN"/>
        </w:rPr>
        <w:t>10000</w:t>
      </w:r>
      <w:r>
        <w:rPr>
          <w:rFonts w:eastAsia="仿宋_GB2312"/>
          <w:color w:val="auto"/>
          <w:sz w:val="32"/>
          <w:szCs w:val="32"/>
          <w:highlight w:val="none"/>
          <w:u w:val="none"/>
        </w:rPr>
        <w:t>万元。主要原因</w:t>
      </w:r>
      <w:r>
        <w:rPr>
          <w:rFonts w:hint="eastAsia" w:eastAsia="仿宋_GB2312"/>
          <w:color w:val="auto"/>
          <w:sz w:val="32"/>
          <w:szCs w:val="32"/>
          <w:highlight w:val="none"/>
          <w:u w:val="none"/>
          <w:lang w:val="en-US" w:eastAsia="zh-CN"/>
        </w:rPr>
        <w:t>2025年我单位尚未开始建设，未有资金投入。</w:t>
      </w:r>
    </w:p>
    <w:p w14:paraId="0E2D9A4E">
      <w:pPr>
        <w:pStyle w:val="8"/>
        <w:tabs>
          <w:tab w:val="left" w:pos="4112"/>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2．年终结转结余</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w:t>
      </w:r>
    </w:p>
    <w:p w14:paraId="00A47187">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二、收入预算情况说明</w:t>
      </w:r>
    </w:p>
    <w:p w14:paraId="74A27DEE">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内蒙古医科大学附属敕勒川医院2026</w:t>
      </w:r>
      <w:r>
        <w:rPr>
          <w:rFonts w:hint="eastAsia" w:ascii="仿宋_GB2312" w:hAnsi="仿宋_GB2312" w:eastAsia="仿宋_GB2312" w:cs="仿宋_GB2312"/>
          <w:color w:val="auto"/>
          <w:sz w:val="32"/>
          <w:szCs w:val="32"/>
          <w:highlight w:val="none"/>
          <w:u w:val="none"/>
        </w:rPr>
        <w:t>年度</w:t>
      </w:r>
      <w:r>
        <w:rPr>
          <w:rFonts w:eastAsia="仿宋_GB2312"/>
          <w:color w:val="auto"/>
          <w:sz w:val="32"/>
          <w:szCs w:val="32"/>
          <w:highlight w:val="none"/>
          <w:u w:val="none"/>
        </w:rPr>
        <w:t>收入预算</w:t>
      </w:r>
      <w:r>
        <w:rPr>
          <w:rFonts w:hint="eastAsia" w:eastAsia="仿宋_GB2312"/>
          <w:color w:val="auto"/>
          <w:sz w:val="32"/>
          <w:szCs w:val="32"/>
          <w:highlight w:val="none"/>
          <w:u w:val="none"/>
          <w:lang w:val="en-US" w:eastAsia="zh-CN"/>
        </w:rPr>
        <w:t>总</w:t>
      </w:r>
      <w:r>
        <w:rPr>
          <w:rFonts w:eastAsia="仿宋_GB2312"/>
          <w:color w:val="auto"/>
          <w:sz w:val="32"/>
          <w:szCs w:val="32"/>
          <w:highlight w:val="none"/>
          <w:u w:val="none"/>
        </w:rPr>
        <w:t>计</w:t>
      </w:r>
      <w:r>
        <w:rPr>
          <w:rFonts w:hint="eastAsia" w:eastAsia="仿宋_GB2312"/>
          <w:color w:val="auto"/>
          <w:sz w:val="32"/>
          <w:szCs w:val="32"/>
          <w:highlight w:val="none"/>
          <w:u w:val="none"/>
          <w:lang w:val="en-US" w:eastAsia="zh-CN"/>
        </w:rPr>
        <w:t>10000</w:t>
      </w:r>
      <w:r>
        <w:rPr>
          <w:rFonts w:eastAsia="仿宋_GB2312"/>
          <w:color w:val="auto"/>
          <w:sz w:val="32"/>
          <w:szCs w:val="32"/>
          <w:highlight w:val="none"/>
          <w:u w:val="none"/>
        </w:rPr>
        <w:t>万元，包括本年收入</w:t>
      </w:r>
      <w:r>
        <w:rPr>
          <w:rFonts w:hint="eastAsia" w:eastAsia="仿宋_GB2312"/>
          <w:color w:val="auto"/>
          <w:sz w:val="32"/>
          <w:szCs w:val="32"/>
          <w:highlight w:val="none"/>
          <w:u w:val="none"/>
          <w:lang w:val="en-US" w:eastAsia="zh-CN"/>
        </w:rPr>
        <w:t>10000</w:t>
      </w:r>
      <w:r>
        <w:rPr>
          <w:rFonts w:eastAsia="仿宋_GB2312"/>
          <w:color w:val="auto"/>
          <w:sz w:val="32"/>
          <w:szCs w:val="32"/>
          <w:highlight w:val="none"/>
          <w:u w:val="none"/>
        </w:rPr>
        <w:t>万元，上年结转结余</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万元。其中：</w:t>
      </w:r>
    </w:p>
    <w:p w14:paraId="53BD7C03">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本年一般公共预算收入</w:t>
      </w:r>
      <w:r>
        <w:rPr>
          <w:rFonts w:hint="eastAsia" w:eastAsia="仿宋_GB2312"/>
          <w:color w:val="auto"/>
          <w:sz w:val="32"/>
          <w:szCs w:val="32"/>
          <w:highlight w:val="none"/>
          <w:u w:val="none"/>
          <w:lang w:val="en-US" w:eastAsia="zh-CN"/>
        </w:rPr>
        <w:t>10000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100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5C693A71">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本年政府性基金预算收入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5EACB952">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本年国有资本经营预算收入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38217325">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本年财政专户管理资金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3C773B7E">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本年事业收入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万元，占 </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17C13959">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本年事业单位经营收入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5ECC3FF6">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本年上级补助收入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61D12B8B">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本年附属单位上缴收入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4C54B0D1">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本年其他收入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2D2F884F">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上年结转结余的一般公共预算收入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57AB6D0D">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上年结转结余的政府性基金预算收入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118B6855">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上年结转结余的国有资本经营预算收入</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4BAE5F08">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上年结转结余的财政专户管理资金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53E4BB25">
      <w:pPr>
        <w:pStyle w:val="8"/>
        <w:tabs>
          <w:tab w:val="left" w:pos="2671"/>
          <w:tab w:val="left" w:pos="5000"/>
          <w:tab w:val="left" w:pos="6190"/>
        </w:tabs>
        <w:spacing w:after="0" w:line="600" w:lineRule="exact"/>
        <w:ind w:firstLine="640" w:firstLineChars="200"/>
        <w:rPr>
          <w:rFonts w:hint="eastAsia" w:eastAsia="仿宋_GB2312"/>
          <w:color w:val="auto"/>
          <w:sz w:val="32"/>
          <w:szCs w:val="32"/>
          <w:highlight w:val="none"/>
          <w:u w:val="none"/>
          <w:lang w:eastAsia="zh-CN"/>
        </w:rPr>
      </w:pPr>
      <w:r>
        <w:rPr>
          <w:rFonts w:eastAsia="仿宋_GB2312"/>
          <w:color w:val="auto"/>
          <w:sz w:val="32"/>
          <w:szCs w:val="32"/>
          <w:highlight w:val="none"/>
          <w:u w:val="none"/>
        </w:rPr>
        <w:t>上年结转结余的单位资金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hint="eastAsia" w:eastAsia="仿宋_GB2312"/>
          <w:color w:val="auto"/>
          <w:sz w:val="32"/>
          <w:szCs w:val="32"/>
          <w:highlight w:val="none"/>
          <w:u w:val="none"/>
          <w:lang w:eastAsia="zh-CN"/>
        </w:rPr>
        <w:t>。</w:t>
      </w:r>
    </w:p>
    <w:p w14:paraId="11FA8F93">
      <w:pPr>
        <w:pStyle w:val="8"/>
        <w:tabs>
          <w:tab w:val="left" w:pos="2671"/>
          <w:tab w:val="left" w:pos="5000"/>
          <w:tab w:val="left" w:pos="6190"/>
        </w:tabs>
        <w:spacing w:after="0" w:line="600" w:lineRule="exact"/>
        <w:ind w:firstLine="640" w:firstLineChars="200"/>
        <w:rPr>
          <w:rFonts w:hint="eastAsia" w:eastAsia="仿宋_GB2312"/>
          <w:color w:val="auto"/>
          <w:sz w:val="32"/>
          <w:szCs w:val="32"/>
          <w:highlight w:val="none"/>
          <w:u w:val="none"/>
          <w:lang w:eastAsia="zh-CN"/>
        </w:rPr>
      </w:pPr>
    </w:p>
    <w:p w14:paraId="735DB6DE">
      <w:pPr>
        <w:tabs>
          <w:tab w:val="left" w:pos="1334"/>
        </w:tabs>
        <w:bidi w:val="0"/>
        <w:jc w:val="left"/>
        <w:rPr>
          <w:rFonts w:hint="eastAsia" w:eastAsia="宋体"/>
          <w:u w:val="none"/>
          <w:lang w:eastAsia="zh-CN"/>
        </w:rPr>
      </w:pPr>
    </w:p>
    <w:p w14:paraId="29853393">
      <w:pPr>
        <w:pStyle w:val="18"/>
        <w:tabs>
          <w:tab w:val="left" w:pos="0"/>
        </w:tabs>
        <w:ind w:left="0" w:leftChars="0" w:firstLine="0"/>
        <w:jc w:val="center"/>
        <w:rPr>
          <w:rFonts w:hint="eastAsia" w:eastAsia="仿宋_GB2312"/>
          <w:color w:val="auto"/>
          <w:sz w:val="32"/>
          <w:szCs w:val="32"/>
          <w:highlight w:val="none"/>
          <w:u w:val="none"/>
          <w:lang w:eastAsia="zh-CN"/>
        </w:rPr>
      </w:pPr>
      <w:r>
        <w:rPr>
          <w:color w:val="auto"/>
          <w:sz w:val="32"/>
          <w:u w:val="none"/>
        </w:rPr>
        <mc:AlternateContent>
          <mc:Choice Requires="wps">
            <w:drawing>
              <wp:anchor distT="0" distB="0" distL="114300" distR="114300" simplePos="0" relativeHeight="251659264" behindDoc="0" locked="0" layoutInCell="1" allowOverlap="1">
                <wp:simplePos x="0" y="0"/>
                <wp:positionH relativeFrom="column">
                  <wp:posOffset>4366895</wp:posOffset>
                </wp:positionH>
                <wp:positionV relativeFrom="paragraph">
                  <wp:posOffset>83185</wp:posOffset>
                </wp:positionV>
                <wp:extent cx="935355" cy="242570"/>
                <wp:effectExtent l="4445" t="4445" r="12700" b="19685"/>
                <wp:wrapNone/>
                <wp:docPr id="6" name="文本框 6"/>
                <wp:cNvGraphicFramePr/>
                <a:graphic xmlns:a="http://schemas.openxmlformats.org/drawingml/2006/main">
                  <a:graphicData uri="http://schemas.microsoft.com/office/word/2010/wordprocessingShape">
                    <wps:wsp>
                      <wps:cNvSpPr txBox="1"/>
                      <wps:spPr>
                        <a:xfrm>
                          <a:off x="5154295" y="3289935"/>
                          <a:ext cx="935355" cy="24257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5B5FAFD">
                            <w:pPr>
                              <w:rPr>
                                <w:rFonts w:hint="default" w:eastAsia="宋体"/>
                                <w:lang w:val="en-US" w:eastAsia="zh-CN"/>
                              </w:rPr>
                            </w:pPr>
                            <w:r>
                              <w:rPr>
                                <w:rFonts w:hint="eastAsia" w:eastAsia="宋体"/>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3.85pt;margin-top:6.55pt;height:19.1pt;width:73.65pt;z-index:251659264;mso-width-relative:page;mso-height-relative:page;" fillcolor="#FFFFFF [3201]" filled="t" stroked="t" coordsize="21600,21600" o:gfxdata="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5WYek1gAAAAkBAAAPAAAAAAAAAAEAIAAAACIAAABkcnMvZG93bnJldi54bWxQSwECFAAU&#10;AAAACACHTuJAL1UGH2UCAADCBAAADgAAAAAAAAABACAAAAAlAQAAZHJzL2Uyb0RvYy54bWxQSwUG&#10;AAAAAAYABgBZAQAA/AUAAAAA&#10;">
                <v:fill on="t" focussize="0,0"/>
                <v:stroke weight="0.5pt" color="#000000 [3204]" joinstyle="round"/>
                <v:imagedata o:title=""/>
                <o:lock v:ext="edit" aspectratio="f"/>
                <v:textbox>
                  <w:txbxContent>
                    <w:p w14:paraId="25B5FAFD">
                      <w:pPr>
                        <w:rPr>
                          <w:rFonts w:hint="default" w:eastAsia="宋体"/>
                          <w:lang w:val="en-US" w:eastAsia="zh-CN"/>
                        </w:rPr>
                      </w:pPr>
                      <w:r>
                        <w:rPr>
                          <w:rFonts w:hint="eastAsia" w:eastAsia="宋体"/>
                          <w:lang w:val="en-US" w:eastAsia="zh-CN"/>
                        </w:rPr>
                        <w:t>单位：万元</w:t>
                      </w:r>
                    </w:p>
                  </w:txbxContent>
                </v:textbox>
              </v:shape>
            </w:pict>
          </mc:Fallback>
        </mc:AlternateContent>
      </w:r>
      <w:r>
        <w:rPr>
          <w:rFonts w:hint="eastAsia" w:eastAsia="仿宋_GB2312"/>
          <w:color w:val="auto"/>
          <w:sz w:val="32"/>
          <w:szCs w:val="32"/>
          <w:highlight w:val="none"/>
          <w:u w:val="none"/>
          <w:lang w:eastAsia="zh-CN"/>
        </w:rPr>
        <w:drawing>
          <wp:inline distT="0" distB="0" distL="114300" distR="114300">
            <wp:extent cx="5123180" cy="2600960"/>
            <wp:effectExtent l="4445" t="4445" r="15875" b="234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6BD204D">
      <w:pPr>
        <w:pStyle w:val="18"/>
        <w:tabs>
          <w:tab w:val="left" w:pos="0"/>
        </w:tabs>
        <w:ind w:left="0" w:leftChars="0" w:firstLine="0"/>
        <w:jc w:val="center"/>
        <w:rPr>
          <w:rFonts w:hint="eastAsia" w:ascii="Times New Roman" w:hAnsi="Times New Roman" w:eastAsia="仿宋_GB2312" w:cs="仿宋"/>
          <w:color w:val="auto"/>
          <w:sz w:val="32"/>
          <w:szCs w:val="32"/>
          <w:highlight w:val="none"/>
          <w:u w:val="none"/>
          <w:lang w:eastAsia="zh-CN"/>
        </w:rPr>
      </w:pPr>
      <w:r>
        <w:rPr>
          <w:rFonts w:eastAsia="仿宋_GB2312"/>
          <w:color w:val="auto"/>
          <w:sz w:val="32"/>
          <w:szCs w:val="32"/>
          <w:highlight w:val="none"/>
          <w:u w:val="none"/>
        </w:rPr>
        <w:t>图1.收入预算图</w:t>
      </w:r>
    </w:p>
    <w:p w14:paraId="1FD4D741">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三、支出预算情况说明</w:t>
      </w:r>
    </w:p>
    <w:p w14:paraId="17C39C01">
      <w:pPr>
        <w:pStyle w:val="8"/>
        <w:tabs>
          <w:tab w:val="left" w:pos="2671"/>
          <w:tab w:val="left" w:pos="5000"/>
          <w:tab w:val="left" w:pos="6190"/>
        </w:tabs>
        <w:spacing w:after="0" w:line="600" w:lineRule="exact"/>
        <w:ind w:firstLine="640" w:firstLineChars="200"/>
        <w:rPr>
          <w:rFonts w:hint="eastAsia" w:eastAsia="仿宋_GB2312"/>
          <w:color w:val="auto"/>
          <w:sz w:val="32"/>
          <w:szCs w:val="32"/>
          <w:highlight w:val="none"/>
          <w:u w:val="none"/>
          <w:lang w:eastAsia="zh-CN"/>
        </w:rPr>
      </w:pPr>
      <w:r>
        <w:rPr>
          <w:rFonts w:hint="eastAsia" w:ascii="仿宋_GB2312" w:hAnsi="仿宋_GB2312" w:eastAsia="仿宋_GB2312" w:cs="仿宋"/>
          <w:color w:val="auto"/>
          <w:sz w:val="32"/>
          <w:szCs w:val="32"/>
          <w:highlight w:val="none"/>
          <w:u w:val="none"/>
          <w:lang w:val="en-US" w:eastAsia="zh-CN"/>
        </w:rPr>
        <w:t>内蒙古医科大学附属敕勒川医院2026</w:t>
      </w:r>
      <w:r>
        <w:rPr>
          <w:rFonts w:hint="eastAsia" w:ascii="仿宋_GB2312" w:hAnsi="仿宋_GB2312" w:eastAsia="仿宋_GB2312" w:cs="仿宋_GB2312"/>
          <w:color w:val="auto"/>
          <w:sz w:val="32"/>
          <w:szCs w:val="32"/>
          <w:highlight w:val="none"/>
          <w:u w:val="none"/>
        </w:rPr>
        <w:t>年度</w:t>
      </w:r>
      <w:r>
        <w:rPr>
          <w:rFonts w:eastAsia="仿宋_GB2312"/>
          <w:color w:val="auto"/>
          <w:sz w:val="32"/>
          <w:szCs w:val="32"/>
          <w:highlight w:val="none"/>
          <w:u w:val="none"/>
        </w:rPr>
        <w:t xml:space="preserve">支出预算合计 </w:t>
      </w:r>
      <w:r>
        <w:rPr>
          <w:rFonts w:hint="eastAsia" w:eastAsia="仿宋_GB2312"/>
          <w:color w:val="auto"/>
          <w:sz w:val="32"/>
          <w:szCs w:val="32"/>
          <w:highlight w:val="none"/>
          <w:u w:val="none"/>
          <w:lang w:val="en-US" w:eastAsia="zh-CN"/>
        </w:rPr>
        <w:t>10000</w:t>
      </w:r>
      <w:r>
        <w:rPr>
          <w:rFonts w:eastAsia="仿宋_GB2312"/>
          <w:color w:val="auto"/>
          <w:sz w:val="32"/>
          <w:szCs w:val="32"/>
          <w:highlight w:val="none"/>
          <w:u w:val="none"/>
        </w:rPr>
        <w:t xml:space="preserve"> 万元，其中</w:t>
      </w:r>
      <w:r>
        <w:rPr>
          <w:rFonts w:hint="eastAsia" w:eastAsia="仿宋_GB2312"/>
          <w:color w:val="auto"/>
          <w:sz w:val="32"/>
          <w:szCs w:val="32"/>
          <w:highlight w:val="none"/>
          <w:u w:val="none"/>
          <w:lang w:eastAsia="zh-CN"/>
        </w:rPr>
        <w:t>：</w:t>
      </w:r>
    </w:p>
    <w:p w14:paraId="00DC539C">
      <w:pPr>
        <w:pStyle w:val="8"/>
        <w:tabs>
          <w:tab w:val="left" w:pos="2671"/>
          <w:tab w:val="left" w:pos="5000"/>
          <w:tab w:val="left" w:pos="6190"/>
        </w:tabs>
        <w:spacing w:after="0" w:line="600" w:lineRule="exact"/>
        <w:ind w:firstLine="640" w:firstLineChars="200"/>
        <w:rPr>
          <w:rFonts w:hint="eastAsia" w:eastAsia="仿宋_GB2312"/>
          <w:color w:val="auto"/>
          <w:sz w:val="32"/>
          <w:szCs w:val="32"/>
          <w:highlight w:val="none"/>
          <w:u w:val="none"/>
          <w:lang w:eastAsia="zh-CN"/>
        </w:rPr>
      </w:pPr>
      <w:r>
        <w:rPr>
          <w:rFonts w:eastAsia="仿宋_GB2312"/>
          <w:color w:val="auto"/>
          <w:sz w:val="32"/>
          <w:szCs w:val="32"/>
          <w:highlight w:val="none"/>
          <w:u w:val="none"/>
        </w:rPr>
        <w:t>基本支出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hint="eastAsia" w:eastAsia="仿宋_GB2312"/>
          <w:color w:val="auto"/>
          <w:sz w:val="32"/>
          <w:szCs w:val="32"/>
          <w:highlight w:val="none"/>
          <w:u w:val="none"/>
          <w:lang w:eastAsia="zh-CN"/>
        </w:rPr>
        <w:t>；</w:t>
      </w:r>
    </w:p>
    <w:p w14:paraId="4995D585">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项目支出</w:t>
      </w:r>
      <w:r>
        <w:rPr>
          <w:rFonts w:hint="eastAsia" w:eastAsia="仿宋_GB2312"/>
          <w:color w:val="auto"/>
          <w:sz w:val="32"/>
          <w:szCs w:val="32"/>
          <w:highlight w:val="none"/>
          <w:u w:val="none"/>
          <w:lang w:val="en-US" w:eastAsia="zh-CN"/>
        </w:rPr>
        <w:t>10000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100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21411525">
      <w:pPr>
        <w:pStyle w:val="8"/>
        <w:tabs>
          <w:tab w:val="left" w:pos="2671"/>
          <w:tab w:val="left" w:pos="5000"/>
          <w:tab w:val="left" w:pos="6190"/>
        </w:tabs>
        <w:spacing w:after="0" w:line="600" w:lineRule="exact"/>
        <w:ind w:firstLine="640" w:firstLineChars="200"/>
        <w:rPr>
          <w:rFonts w:ascii="Times New Roman" w:hAnsi="Times New Roman" w:eastAsia="仿宋_GB2312" w:cs="仿宋"/>
          <w:color w:val="auto"/>
          <w:sz w:val="32"/>
          <w:szCs w:val="32"/>
          <w:highlight w:val="none"/>
          <w:u w:val="none"/>
        </w:rPr>
      </w:pPr>
      <w:r>
        <w:rPr>
          <w:rFonts w:eastAsia="仿宋_GB2312"/>
          <w:color w:val="auto"/>
          <w:sz w:val="32"/>
          <w:szCs w:val="32"/>
          <w:highlight w:val="none"/>
          <w:u w:val="none"/>
        </w:rPr>
        <w:t>事业单位经营支出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2C0A0944">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上缴上级支出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73FBFBC0">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对附属单位补助支出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w:t>
      </w:r>
    </w:p>
    <w:p w14:paraId="301D45CA">
      <w:pPr>
        <w:pStyle w:val="18"/>
        <w:ind w:left="0" w:leftChars="0" w:firstLine="220"/>
        <w:jc w:val="center"/>
        <w:rPr>
          <w:rFonts w:hint="default" w:eastAsia="仿宋_GB2312"/>
          <w:color w:val="auto"/>
          <w:sz w:val="32"/>
          <w:szCs w:val="32"/>
          <w:highlight w:val="none"/>
          <w:u w:val="none"/>
        </w:rPr>
      </w:pPr>
    </w:p>
    <w:p w14:paraId="19B979E0">
      <w:pPr>
        <w:pStyle w:val="18"/>
        <w:ind w:left="0" w:leftChars="0" w:firstLine="220"/>
        <w:jc w:val="center"/>
        <w:rPr>
          <w:rFonts w:hint="eastAsia" w:eastAsia="仿宋_GB2312"/>
          <w:color w:val="auto"/>
          <w:sz w:val="32"/>
          <w:szCs w:val="32"/>
          <w:highlight w:val="none"/>
          <w:u w:val="none"/>
          <w:lang w:eastAsia="zh-CN"/>
        </w:rPr>
      </w:pPr>
      <w:r>
        <w:rPr>
          <w:rFonts w:hint="eastAsia" w:eastAsia="仿宋_GB2312"/>
          <w:color w:val="auto"/>
          <w:sz w:val="32"/>
          <w:szCs w:val="32"/>
          <w:highlight w:val="none"/>
          <w:u w:val="none"/>
          <w:lang w:eastAsia="zh-CN"/>
        </w:rPr>
        <w:drawing>
          <wp:inline distT="0" distB="0" distL="114300" distR="114300">
            <wp:extent cx="5087620" cy="2807970"/>
            <wp:effectExtent l="4445" t="4445" r="13335" b="698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color w:val="auto"/>
          <w:sz w:val="32"/>
          <w:u w:val="none"/>
        </w:rPr>
        <mc:AlternateContent>
          <mc:Choice Requires="wps">
            <w:drawing>
              <wp:anchor distT="0" distB="0" distL="114300" distR="114300" simplePos="0" relativeHeight="251660288" behindDoc="0" locked="0" layoutInCell="1" allowOverlap="1">
                <wp:simplePos x="0" y="0"/>
                <wp:positionH relativeFrom="column">
                  <wp:posOffset>4253865</wp:posOffset>
                </wp:positionH>
                <wp:positionV relativeFrom="paragraph">
                  <wp:posOffset>65405</wp:posOffset>
                </wp:positionV>
                <wp:extent cx="1048385" cy="278130"/>
                <wp:effectExtent l="4445" t="4445" r="13970" b="22225"/>
                <wp:wrapNone/>
                <wp:docPr id="8" name="文本框 8"/>
                <wp:cNvGraphicFramePr/>
                <a:graphic xmlns:a="http://schemas.openxmlformats.org/drawingml/2006/main">
                  <a:graphicData uri="http://schemas.microsoft.com/office/word/2010/wordprocessingShape">
                    <wps:wsp>
                      <wps:cNvSpPr txBox="1"/>
                      <wps:spPr>
                        <a:xfrm>
                          <a:off x="4608830" y="3694430"/>
                          <a:ext cx="1048385" cy="27813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052D8252">
                            <w:pPr>
                              <w:rPr>
                                <w:rFonts w:hint="default" w:eastAsia="宋体"/>
                                <w:lang w:val="en-US" w:eastAsia="zh-CN"/>
                              </w:rPr>
                            </w:pPr>
                            <w:r>
                              <w:rPr>
                                <w:rFonts w:hint="eastAsia" w:eastAsia="宋体"/>
                                <w:lang w:val="en-US" w:eastAsia="zh-CN"/>
                              </w:rPr>
                              <w:t>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4.95pt;margin-top:5.15pt;height:21.9pt;width:82.55pt;z-index:251660288;mso-width-relative:page;mso-height-relative:page;" fillcolor="#FFFFFF [3201]" filled="t" stroked="t" coordsize="21600,21600" o:gfxdata="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9aJLW1gAAAAkBAAAPAAAAAAAAAAEAIAAAACIAAABkcnMvZG93bnJldi54bWxQSwECFAAU&#10;AAAACACHTuJAqF4gPmUCAADDBAAADgAAAAAAAAABACAAAAAlAQAAZHJzL2Uyb0RvYy54bWxQSwUG&#10;AAAAAAYABgBZAQAA/AUAAAAA&#10;">
                <v:fill on="t" focussize="0,0"/>
                <v:stroke weight="0.5pt" color="#000000 [3204]" joinstyle="round"/>
                <v:imagedata o:title=""/>
                <o:lock v:ext="edit" aspectratio="f"/>
                <v:textbox>
                  <w:txbxContent>
                    <w:p w14:paraId="052D8252">
                      <w:pPr>
                        <w:rPr>
                          <w:rFonts w:hint="default" w:eastAsia="宋体"/>
                          <w:lang w:val="en-US" w:eastAsia="zh-CN"/>
                        </w:rPr>
                      </w:pPr>
                      <w:r>
                        <w:rPr>
                          <w:rFonts w:hint="eastAsia" w:eastAsia="宋体"/>
                          <w:lang w:val="en-US" w:eastAsia="zh-CN"/>
                        </w:rPr>
                        <w:t>单位：万元</w:t>
                      </w:r>
                    </w:p>
                  </w:txbxContent>
                </v:textbox>
              </v:shape>
            </w:pict>
          </mc:Fallback>
        </mc:AlternateContent>
      </w:r>
    </w:p>
    <w:p w14:paraId="12F6FB0A">
      <w:pPr>
        <w:pStyle w:val="18"/>
        <w:ind w:left="0" w:leftChars="0" w:firstLine="0" w:firstLineChars="0"/>
        <w:jc w:val="center"/>
        <w:rPr>
          <w:rFonts w:hint="default"/>
          <w:color w:val="auto"/>
          <w:highlight w:val="none"/>
          <w:u w:val="none"/>
        </w:rPr>
      </w:pPr>
      <w:r>
        <w:rPr>
          <w:rFonts w:eastAsia="仿宋_GB2312"/>
          <w:color w:val="auto"/>
          <w:sz w:val="32"/>
          <w:szCs w:val="32"/>
          <w:highlight w:val="none"/>
          <w:u w:val="none"/>
        </w:rPr>
        <w:t>图2.支出预算图</w:t>
      </w:r>
    </w:p>
    <w:p w14:paraId="3B73C75D">
      <w:pPr>
        <w:pStyle w:val="8"/>
        <w:tabs>
          <w:tab w:val="left" w:pos="2671"/>
          <w:tab w:val="left" w:pos="5000"/>
          <w:tab w:val="left" w:pos="6190"/>
        </w:tabs>
        <w:spacing w:after="0" w:line="600" w:lineRule="exact"/>
        <w:ind w:firstLine="640" w:firstLineChars="200"/>
        <w:rPr>
          <w:rFonts w:hint="eastAsia" w:ascii="Times New Roman" w:hAnsi="Times New Roman" w:eastAsia="仿宋_GB2312" w:cs="仿宋"/>
          <w:color w:val="auto"/>
          <w:sz w:val="32"/>
          <w:szCs w:val="32"/>
          <w:highlight w:val="none"/>
          <w:u w:val="none"/>
        </w:rPr>
      </w:pPr>
    </w:p>
    <w:p w14:paraId="08CC8380">
      <w:pPr>
        <w:spacing w:line="600" w:lineRule="exact"/>
        <w:ind w:left="6" w:leftChars="0" w:firstLine="633" w:firstLineChars="198"/>
        <w:outlineLvl w:val="2"/>
        <w:rPr>
          <w:rFonts w:eastAsia="黑体" w:cs="黑体"/>
          <w:color w:val="auto"/>
          <w:sz w:val="32"/>
          <w:szCs w:val="36"/>
          <w:highlight w:val="none"/>
          <w:u w:val="none"/>
        </w:rPr>
      </w:pPr>
      <w:r>
        <w:rPr>
          <w:rFonts w:hint="eastAsia" w:eastAsia="黑体" w:cs="黑体"/>
          <w:color w:val="auto"/>
          <w:sz w:val="32"/>
          <w:szCs w:val="36"/>
          <w:highlight w:val="none"/>
          <w:u w:val="none"/>
        </w:rPr>
        <w:t>四、财政拨款收支预算总体情况说明</w:t>
      </w:r>
    </w:p>
    <w:p w14:paraId="17C898F6">
      <w:pPr>
        <w:pStyle w:val="8"/>
        <w:tabs>
          <w:tab w:val="left" w:pos="2671"/>
          <w:tab w:val="left" w:pos="5000"/>
          <w:tab w:val="left" w:pos="6190"/>
        </w:tabs>
        <w:spacing w:after="0" w:line="600" w:lineRule="exact"/>
        <w:ind w:left="19" w:leftChars="9" w:firstLine="617" w:firstLineChars="193"/>
        <w:rPr>
          <w:rFonts w:ascii="Times New Roman" w:hAnsi="Times New Roman" w:eastAsia="仿宋_GB2312" w:cs="仿宋"/>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内蒙古医科大学附属敕勒川医院2026</w:t>
      </w:r>
      <w:r>
        <w:rPr>
          <w:rFonts w:eastAsia="仿宋_GB2312"/>
          <w:color w:val="auto"/>
          <w:sz w:val="32"/>
          <w:szCs w:val="32"/>
          <w:highlight w:val="none"/>
          <w:u w:val="none"/>
        </w:rPr>
        <w:t>年度财政拨款收、支总预算</w:t>
      </w:r>
      <w:r>
        <w:rPr>
          <w:rFonts w:hint="eastAsia" w:eastAsia="仿宋_GB2312"/>
          <w:color w:val="auto"/>
          <w:sz w:val="32"/>
          <w:szCs w:val="32"/>
          <w:highlight w:val="none"/>
          <w:u w:val="none"/>
          <w:lang w:val="en-US" w:eastAsia="zh-CN"/>
        </w:rPr>
        <w:t>10000</w:t>
      </w:r>
      <w:r>
        <w:rPr>
          <w:rFonts w:eastAsia="仿宋_GB2312"/>
          <w:color w:val="auto"/>
          <w:sz w:val="32"/>
          <w:szCs w:val="32"/>
          <w:highlight w:val="none"/>
          <w:u w:val="none"/>
        </w:rPr>
        <w:t>万元。与上年相比，财政拨款收、支总计各增加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w:t>
      </w:r>
      <w:r>
        <w:rPr>
          <w:rFonts w:hint="eastAsia" w:ascii="仿宋_GB2312" w:hAnsi="仿宋_GB2312" w:eastAsia="仿宋_GB2312"/>
          <w:color w:val="auto"/>
          <w:sz w:val="32"/>
          <w:szCs w:val="32"/>
          <w:highlight w:val="none"/>
          <w:u w:val="none"/>
          <w:lang w:val="en-US" w:eastAsia="zh-CN"/>
        </w:rPr>
        <w:t>.</w:t>
      </w:r>
      <w:r>
        <w:rPr>
          <w:rFonts w:eastAsia="仿宋_GB2312"/>
          <w:color w:val="auto"/>
          <w:sz w:val="32"/>
          <w:szCs w:val="32"/>
          <w:highlight w:val="none"/>
          <w:u w:val="none"/>
        </w:rPr>
        <w:t>主要原因是</w:t>
      </w:r>
      <w:r>
        <w:rPr>
          <w:rFonts w:hint="eastAsia" w:eastAsia="仿宋_GB2312"/>
          <w:color w:val="auto"/>
          <w:sz w:val="32"/>
          <w:szCs w:val="32"/>
          <w:highlight w:val="none"/>
          <w:u w:val="none"/>
          <w:lang w:val="en-US" w:eastAsia="zh-CN"/>
        </w:rPr>
        <w:t>我单位是2026年新建设单位</w:t>
      </w:r>
      <w:r>
        <w:rPr>
          <w:rFonts w:eastAsia="仿宋_GB2312"/>
          <w:color w:val="auto"/>
          <w:sz w:val="32"/>
          <w:szCs w:val="32"/>
          <w:highlight w:val="none"/>
          <w:u w:val="none"/>
        </w:rPr>
        <w:t>。</w:t>
      </w:r>
    </w:p>
    <w:p w14:paraId="2BF42009">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五、一般公共预算支出预算情况说明</w:t>
      </w:r>
    </w:p>
    <w:p w14:paraId="3260CFA4">
      <w:pPr>
        <w:pStyle w:val="8"/>
        <w:tabs>
          <w:tab w:val="left" w:pos="2671"/>
          <w:tab w:val="left" w:pos="5000"/>
          <w:tab w:val="left" w:pos="6190"/>
        </w:tabs>
        <w:spacing w:after="0" w:line="600" w:lineRule="exact"/>
        <w:ind w:firstLine="640" w:firstLineChars="200"/>
        <w:rPr>
          <w:rFonts w:hint="eastAsia" w:eastAsia="仿宋_GB2312"/>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内蒙古医科大学附属敕勒川医院2026</w:t>
      </w:r>
      <w:r>
        <w:rPr>
          <w:rFonts w:hint="eastAsia" w:ascii="仿宋_GB2312" w:hAnsi="仿宋_GB2312" w:eastAsia="仿宋_GB2312" w:cs="仿宋_GB2312"/>
          <w:color w:val="auto"/>
          <w:sz w:val="32"/>
          <w:szCs w:val="32"/>
          <w:highlight w:val="none"/>
          <w:u w:val="none"/>
        </w:rPr>
        <w:t>年度</w:t>
      </w:r>
      <w:r>
        <w:rPr>
          <w:rFonts w:eastAsia="仿宋_GB2312"/>
          <w:color w:val="auto"/>
          <w:sz w:val="32"/>
          <w:szCs w:val="32"/>
          <w:highlight w:val="none"/>
          <w:u w:val="none"/>
        </w:rPr>
        <w:t>一般公共预算财政拨款支出预算</w:t>
      </w:r>
      <w:r>
        <w:rPr>
          <w:rFonts w:hint="eastAsia" w:eastAsia="仿宋_GB2312"/>
          <w:color w:val="auto"/>
          <w:sz w:val="32"/>
          <w:szCs w:val="32"/>
          <w:highlight w:val="none"/>
          <w:u w:val="none"/>
          <w:lang w:val="en-US" w:eastAsia="zh-CN"/>
        </w:rPr>
        <w:t>10000</w:t>
      </w:r>
      <w:r>
        <w:rPr>
          <w:rFonts w:eastAsia="仿宋_GB2312"/>
          <w:color w:val="auto"/>
          <w:sz w:val="32"/>
          <w:szCs w:val="32"/>
          <w:highlight w:val="none"/>
          <w:u w:val="none"/>
        </w:rPr>
        <w:t>万元，与上年相比增加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w:t>
      </w:r>
      <w:r>
        <w:rPr>
          <w:rFonts w:hint="eastAsia" w:eastAsia="仿宋_GB2312"/>
          <w:color w:val="auto"/>
          <w:sz w:val="32"/>
          <w:szCs w:val="32"/>
          <w:highlight w:val="none"/>
          <w:u w:val="none"/>
        </w:rPr>
        <w:t>具体情况如下：</w:t>
      </w:r>
    </w:p>
    <w:p w14:paraId="10D6309F">
      <w:pPr>
        <w:adjustRightInd w:val="0"/>
        <w:snapToGrid w:val="0"/>
        <w:spacing w:line="560" w:lineRule="exact"/>
        <w:ind w:left="640"/>
        <w:rPr>
          <w:rFonts w:hint="eastAsia" w:ascii="黑体" w:hAnsi="黑体" w:eastAsia="黑体"/>
          <w:color w:val="auto"/>
          <w:sz w:val="32"/>
          <w:szCs w:val="32"/>
          <w:u w:val="none"/>
          <w:lang w:eastAsia="zh-CN"/>
        </w:rPr>
      </w:pPr>
      <w:r>
        <w:rPr>
          <w:rFonts w:hint="eastAsia" w:ascii="黑体" w:hAnsi="黑体" w:eastAsia="黑体"/>
          <w:color w:val="auto"/>
          <w:sz w:val="32"/>
          <w:szCs w:val="32"/>
          <w:u w:val="none"/>
        </w:rPr>
        <w:t>（</w:t>
      </w:r>
      <w:r>
        <w:rPr>
          <w:rFonts w:hint="eastAsia" w:ascii="黑体" w:hAnsi="黑体" w:eastAsia="黑体"/>
          <w:color w:val="auto"/>
          <w:sz w:val="32"/>
          <w:szCs w:val="32"/>
          <w:u w:val="none"/>
          <w:lang w:val="en-US" w:eastAsia="zh-CN"/>
        </w:rPr>
        <w:t>一</w:t>
      </w:r>
      <w:r>
        <w:rPr>
          <w:rFonts w:hint="eastAsia" w:ascii="黑体" w:hAnsi="黑体" w:eastAsia="黑体"/>
          <w:color w:val="auto"/>
          <w:sz w:val="32"/>
          <w:szCs w:val="32"/>
          <w:u w:val="none"/>
        </w:rPr>
        <w:t>）卫生健康支出</w:t>
      </w:r>
      <w:r>
        <w:rPr>
          <w:rFonts w:hint="eastAsia" w:ascii="黑体" w:hAnsi="黑体" w:eastAsia="黑体"/>
          <w:color w:val="auto"/>
          <w:sz w:val="32"/>
          <w:szCs w:val="32"/>
          <w:u w:val="none"/>
          <w:lang w:eastAsia="zh-CN"/>
        </w:rPr>
        <w:t>（</w:t>
      </w:r>
      <w:r>
        <w:rPr>
          <w:rFonts w:hint="eastAsia" w:ascii="黑体" w:hAnsi="黑体" w:eastAsia="黑体"/>
          <w:color w:val="auto"/>
          <w:sz w:val="32"/>
          <w:szCs w:val="32"/>
          <w:u w:val="none"/>
          <w:lang w:val="en-US" w:eastAsia="zh-CN"/>
        </w:rPr>
        <w:t>类</w:t>
      </w:r>
      <w:r>
        <w:rPr>
          <w:rFonts w:hint="eastAsia" w:ascii="黑体" w:hAnsi="黑体" w:eastAsia="黑体"/>
          <w:color w:val="auto"/>
          <w:sz w:val="32"/>
          <w:szCs w:val="32"/>
          <w:u w:val="none"/>
          <w:lang w:eastAsia="zh-CN"/>
        </w:rPr>
        <w:t>）</w:t>
      </w:r>
    </w:p>
    <w:p w14:paraId="36B1A195">
      <w:pPr>
        <w:adjustRightInd w:val="0"/>
        <w:snapToGrid w:val="0"/>
        <w:spacing w:line="560" w:lineRule="exact"/>
        <w:ind w:firstLine="640" w:firstLineChars="200"/>
        <w:rPr>
          <w:rFonts w:hint="eastAsia" w:ascii="仿宋_GB2312" w:eastAsia="仿宋_GB2312"/>
          <w:color w:val="auto"/>
          <w:sz w:val="32"/>
          <w:szCs w:val="32"/>
          <w:u w:val="none"/>
        </w:rPr>
      </w:pPr>
      <w:r>
        <w:rPr>
          <w:rFonts w:hint="eastAsia" w:ascii="仿宋_GB2312" w:eastAsia="仿宋_GB2312"/>
          <w:color w:val="auto"/>
          <w:sz w:val="32"/>
          <w:szCs w:val="32"/>
          <w:u w:val="none"/>
        </w:rPr>
        <w:t>卫生健康支出</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类</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年初预算数为</w:t>
      </w:r>
      <w:r>
        <w:rPr>
          <w:rFonts w:hint="eastAsia" w:ascii="仿宋_GB2312" w:eastAsia="仿宋_GB2312"/>
          <w:color w:val="auto"/>
          <w:sz w:val="32"/>
          <w:szCs w:val="32"/>
          <w:u w:val="none"/>
          <w:lang w:val="en-US" w:eastAsia="zh-CN"/>
        </w:rPr>
        <w:t>10000</w:t>
      </w:r>
      <w:r>
        <w:rPr>
          <w:rFonts w:hint="eastAsia" w:ascii="仿宋_GB2312" w:eastAsia="仿宋_GB2312"/>
          <w:color w:val="auto"/>
          <w:sz w:val="32"/>
          <w:szCs w:val="32"/>
          <w:u w:val="none"/>
        </w:rPr>
        <w:t>万元，</w:t>
      </w:r>
      <w:r>
        <w:rPr>
          <w:rFonts w:hint="eastAsia" w:eastAsia="仿宋_GB2312"/>
          <w:color w:val="auto"/>
          <w:sz w:val="32"/>
          <w:szCs w:val="32"/>
          <w:u w:val="none"/>
        </w:rPr>
        <w:t>与上年相比增加</w:t>
      </w:r>
      <w:r>
        <w:rPr>
          <w:rFonts w:hint="eastAsia" w:eastAsia="仿宋_GB2312"/>
          <w:color w:val="auto"/>
          <w:sz w:val="32"/>
          <w:szCs w:val="32"/>
          <w:u w:val="none"/>
          <w:lang w:val="en-US" w:eastAsia="zh-CN"/>
        </w:rPr>
        <w:t>0</w:t>
      </w:r>
      <w:r>
        <w:rPr>
          <w:rFonts w:hint="eastAsia" w:eastAsia="仿宋_GB2312"/>
          <w:color w:val="auto"/>
          <w:sz w:val="32"/>
          <w:szCs w:val="32"/>
          <w:u w:val="none"/>
        </w:rPr>
        <w:t>万元</w:t>
      </w:r>
      <w:r>
        <w:rPr>
          <w:rFonts w:hint="eastAsia" w:ascii="仿宋_GB2312" w:eastAsia="仿宋_GB2312"/>
          <w:color w:val="auto"/>
          <w:sz w:val="32"/>
          <w:szCs w:val="32"/>
          <w:u w:val="none"/>
        </w:rPr>
        <w:t>，其中：</w:t>
      </w:r>
    </w:p>
    <w:p w14:paraId="00F6E28B">
      <w:pPr>
        <w:numPr>
          <w:ilvl w:val="0"/>
          <w:numId w:val="0"/>
        </w:numPr>
        <w:adjustRightInd w:val="0"/>
        <w:snapToGrid w:val="0"/>
        <w:spacing w:line="560" w:lineRule="exact"/>
        <w:ind w:firstLine="640" w:firstLineChars="200"/>
        <w:rPr>
          <w:rFonts w:hint="default" w:ascii="仿宋_GB2312" w:eastAsia="仿宋_GB2312"/>
          <w:color w:val="auto"/>
          <w:sz w:val="32"/>
          <w:szCs w:val="32"/>
          <w:u w:val="none"/>
          <w:lang w:val="en-US" w:eastAsia="zh-CN"/>
        </w:rPr>
      </w:pPr>
      <w:r>
        <w:rPr>
          <w:rFonts w:hint="eastAsia" w:ascii="仿宋_GB2312" w:eastAsia="仿宋_GB2312"/>
          <w:color w:val="auto"/>
          <w:sz w:val="32"/>
          <w:szCs w:val="32"/>
          <w:u w:val="none"/>
          <w:lang w:val="en-US" w:eastAsia="zh-CN"/>
        </w:rPr>
        <w:t>1.</w:t>
      </w:r>
      <w:r>
        <w:rPr>
          <w:rFonts w:hint="eastAsia" w:ascii="仿宋_GB2312" w:eastAsia="仿宋_GB2312"/>
          <w:color w:val="auto"/>
          <w:sz w:val="32"/>
          <w:szCs w:val="32"/>
          <w:u w:val="none"/>
        </w:rPr>
        <w:t>公立医院</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款</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中综合医院</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项</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rPr>
        <w:t>年初安排</w:t>
      </w:r>
      <w:r>
        <w:rPr>
          <w:rFonts w:hint="eastAsia" w:ascii="仿宋_GB2312" w:eastAsia="仿宋_GB2312"/>
          <w:color w:val="auto"/>
          <w:sz w:val="32"/>
          <w:szCs w:val="32"/>
          <w:u w:val="none"/>
          <w:lang w:val="en-US" w:eastAsia="zh-CN"/>
        </w:rPr>
        <w:t>10000</w:t>
      </w:r>
      <w:r>
        <w:rPr>
          <w:rFonts w:hint="eastAsia" w:ascii="仿宋_GB2312" w:eastAsia="仿宋_GB2312"/>
          <w:color w:val="auto"/>
          <w:sz w:val="32"/>
          <w:szCs w:val="32"/>
          <w:u w:val="none"/>
        </w:rPr>
        <w:t>万元，与上年相比</w:t>
      </w:r>
      <w:r>
        <w:rPr>
          <w:rFonts w:hint="eastAsia" w:ascii="仿宋_GB2312" w:eastAsia="仿宋_GB2312"/>
          <w:color w:val="auto"/>
          <w:sz w:val="32"/>
          <w:szCs w:val="32"/>
          <w:u w:val="none"/>
          <w:lang w:val="en-US" w:eastAsia="zh-CN"/>
        </w:rPr>
        <w:t>增加0</w:t>
      </w:r>
      <w:r>
        <w:rPr>
          <w:rFonts w:hint="eastAsia" w:ascii="仿宋_GB2312" w:eastAsia="仿宋_GB2312"/>
          <w:color w:val="auto"/>
          <w:sz w:val="32"/>
          <w:szCs w:val="32"/>
          <w:u w:val="none"/>
        </w:rPr>
        <w:t>万元</w:t>
      </w:r>
      <w:r>
        <w:rPr>
          <w:rFonts w:hint="eastAsia" w:ascii="仿宋_GB2312" w:eastAsia="仿宋_GB2312"/>
          <w:color w:val="auto"/>
          <w:sz w:val="32"/>
          <w:szCs w:val="32"/>
          <w:u w:val="none"/>
          <w:lang w:eastAsia="zh-CN"/>
        </w:rPr>
        <w:t>。</w:t>
      </w:r>
      <w:r>
        <w:rPr>
          <w:rFonts w:hint="eastAsia" w:ascii="仿宋_GB2312" w:eastAsia="仿宋_GB2312"/>
          <w:color w:val="auto"/>
          <w:sz w:val="32"/>
          <w:szCs w:val="32"/>
          <w:u w:val="none"/>
          <w:lang w:val="en-US" w:eastAsia="zh-CN"/>
        </w:rPr>
        <w:t>主要原因是我单位是2026年新建设单位。</w:t>
      </w:r>
    </w:p>
    <w:p w14:paraId="08124C78">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六、一般公共预算基本支出预算情况说明</w:t>
      </w:r>
    </w:p>
    <w:p w14:paraId="430FBEE0">
      <w:pPr>
        <w:pStyle w:val="8"/>
        <w:tabs>
          <w:tab w:val="left" w:pos="2671"/>
          <w:tab w:val="left" w:pos="5000"/>
          <w:tab w:val="left" w:pos="6190"/>
        </w:tabs>
        <w:spacing w:after="0" w:line="600" w:lineRule="exact"/>
        <w:ind w:firstLine="640" w:firstLineChars="200"/>
        <w:rPr>
          <w:rFonts w:hint="eastAsia" w:ascii="Times New Roman" w:hAnsi="Times New Roman" w:eastAsia="仿宋_GB2312" w:cs="仿宋"/>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内蒙古医科大学附属敕勒川医院2026</w:t>
      </w:r>
      <w:r>
        <w:rPr>
          <w:rFonts w:hint="eastAsia" w:ascii="Times New Roman" w:hAnsi="Times New Roman" w:eastAsia="仿宋_GB2312" w:cs="仿宋"/>
          <w:color w:val="auto"/>
          <w:sz w:val="32"/>
          <w:szCs w:val="32"/>
          <w:highlight w:val="none"/>
          <w:u w:val="none"/>
        </w:rPr>
        <w:t>年度一般公共预算财政拨款基本支出预算</w:t>
      </w:r>
      <w:r>
        <w:rPr>
          <w:rFonts w:hint="eastAsia" w:eastAsia="仿宋_GB2312" w:cs="仿宋"/>
          <w:color w:val="auto"/>
          <w:sz w:val="32"/>
          <w:szCs w:val="32"/>
          <w:highlight w:val="none"/>
          <w:u w:val="none"/>
          <w:lang w:val="en-US" w:eastAsia="zh-CN"/>
        </w:rPr>
        <w:t>0</w:t>
      </w:r>
      <w:r>
        <w:rPr>
          <w:rFonts w:hint="eastAsia" w:ascii="Times New Roman" w:hAnsi="Times New Roman" w:eastAsia="仿宋_GB2312" w:cs="仿宋"/>
          <w:color w:val="auto"/>
          <w:sz w:val="32"/>
          <w:szCs w:val="32"/>
          <w:highlight w:val="none"/>
          <w:u w:val="none"/>
        </w:rPr>
        <w:t>万元，其中：</w:t>
      </w:r>
    </w:p>
    <w:p w14:paraId="4F63EA0F">
      <w:pPr>
        <w:spacing w:line="600" w:lineRule="exact"/>
        <w:ind w:left="0" w:leftChars="0" w:firstLine="640" w:firstLineChars="200"/>
        <w:outlineLvl w:val="2"/>
        <w:rPr>
          <w:rFonts w:hint="eastAsia" w:eastAsia="黑体" w:cs="黑体"/>
          <w:color w:val="auto"/>
          <w:sz w:val="32"/>
          <w:szCs w:val="36"/>
          <w:highlight w:val="none"/>
          <w:u w:val="none"/>
        </w:rPr>
      </w:pPr>
    </w:p>
    <w:p w14:paraId="360E99C6">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七、一般公共预算“三公”经费支出预算情况说明</w:t>
      </w:r>
    </w:p>
    <w:p w14:paraId="26185692">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内蒙古医科大学附属敕勒川医院2026</w:t>
      </w:r>
      <w:r>
        <w:rPr>
          <w:rFonts w:eastAsia="仿宋_GB2312"/>
          <w:color w:val="auto"/>
          <w:sz w:val="32"/>
          <w:szCs w:val="32"/>
          <w:highlight w:val="none"/>
          <w:u w:val="none"/>
        </w:rPr>
        <w:t>年度一般公共预算拨款安排的“三公”经费预算支出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万元，其中因公出国（境）费支出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；公务用车购置及运行维护费支出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；公务接待费支出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万元，占</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z w:val="32"/>
          <w:szCs w:val="32"/>
          <w:highlight w:val="none"/>
          <w:u w:val="none"/>
        </w:rPr>
        <w:t>。具体情况如下：</w:t>
      </w:r>
    </w:p>
    <w:p w14:paraId="305ACB53">
      <w:pPr>
        <w:spacing w:line="600" w:lineRule="exact"/>
        <w:ind w:left="29" w:right="96" w:firstLine="650"/>
        <w:rPr>
          <w:rFonts w:eastAsia="仿宋_GB2312"/>
          <w:color w:val="auto"/>
          <w:sz w:val="32"/>
          <w:szCs w:val="32"/>
          <w:highlight w:val="none"/>
          <w:u w:val="none"/>
        </w:rPr>
      </w:pPr>
      <w:r>
        <w:rPr>
          <w:rFonts w:eastAsia="仿宋_GB2312"/>
          <w:color w:val="auto"/>
          <w:sz w:val="32"/>
          <w:szCs w:val="32"/>
          <w:highlight w:val="none"/>
          <w:u w:val="none"/>
        </w:rPr>
        <w:t>一般公共预算拨款安排的“三公”经费预算支出</w:t>
      </w:r>
      <w:r>
        <w:rPr>
          <w:rFonts w:hint="eastAsia" w:eastAsia="仿宋_GB2312"/>
          <w:color w:val="auto"/>
          <w:sz w:val="32"/>
          <w:szCs w:val="32"/>
          <w:highlight w:val="none"/>
          <w:u w:val="none"/>
          <w:lang w:val="en-US" w:eastAsia="zh-CN"/>
        </w:rPr>
        <w:t>0</w:t>
      </w:r>
      <w:r>
        <w:rPr>
          <w:rFonts w:eastAsia="仿宋_GB2312"/>
          <w:color w:val="auto"/>
          <w:spacing w:val="-4"/>
          <w:sz w:val="32"/>
          <w:szCs w:val="32"/>
          <w:highlight w:val="none"/>
          <w:u w:val="none"/>
        </w:rPr>
        <w:t>万元，比上年预</w:t>
      </w:r>
      <w:r>
        <w:rPr>
          <w:rFonts w:eastAsia="仿宋_GB2312"/>
          <w:color w:val="auto"/>
          <w:spacing w:val="-6"/>
          <w:sz w:val="32"/>
          <w:szCs w:val="32"/>
          <w:highlight w:val="none"/>
          <w:u w:val="none"/>
        </w:rPr>
        <w:t>算增加</w:t>
      </w:r>
      <w:r>
        <w:rPr>
          <w:rFonts w:hint="eastAsia" w:eastAsia="仿宋_GB2312"/>
          <w:color w:val="auto"/>
          <w:sz w:val="32"/>
          <w:szCs w:val="32"/>
          <w:highlight w:val="none"/>
          <w:u w:val="none"/>
          <w:lang w:val="en-US" w:eastAsia="zh-CN"/>
        </w:rPr>
        <w:t>0</w:t>
      </w:r>
      <w:r>
        <w:rPr>
          <w:rFonts w:eastAsia="仿宋_GB2312"/>
          <w:color w:val="auto"/>
          <w:spacing w:val="-6"/>
          <w:sz w:val="32"/>
          <w:szCs w:val="32"/>
          <w:highlight w:val="none"/>
          <w:u w:val="none"/>
        </w:rPr>
        <w:t>万元，</w:t>
      </w:r>
      <w:r>
        <w:rPr>
          <w:rFonts w:eastAsia="仿宋_GB2312"/>
          <w:color w:val="auto"/>
          <w:sz w:val="32"/>
          <w:szCs w:val="32"/>
          <w:highlight w:val="none"/>
          <w:u w:val="none"/>
        </w:rPr>
        <w:t>增长</w:t>
      </w:r>
      <w:r>
        <w:rPr>
          <w:rFonts w:hint="eastAsia" w:eastAsia="仿宋_GB2312"/>
          <w:color w:val="auto"/>
          <w:sz w:val="32"/>
          <w:szCs w:val="32"/>
          <w:highlight w:val="none"/>
          <w:u w:val="none"/>
          <w:lang w:val="en-US" w:eastAsia="zh-CN"/>
        </w:rPr>
        <w:t>0</w:t>
      </w:r>
      <w:r>
        <w:rPr>
          <w:rFonts w:hint="eastAsia" w:ascii="仿宋_GB2312" w:hAnsi="仿宋_GB2312" w:eastAsia="仿宋_GB2312"/>
          <w:color w:val="auto"/>
          <w:sz w:val="32"/>
          <w:szCs w:val="32"/>
          <w:highlight w:val="none"/>
          <w:u w:val="none"/>
          <w:lang w:eastAsia="zh-CN"/>
        </w:rPr>
        <w:t>%</w:t>
      </w:r>
      <w:r>
        <w:rPr>
          <w:rFonts w:eastAsia="仿宋_GB2312"/>
          <w:color w:val="auto"/>
          <w:spacing w:val="-6"/>
          <w:sz w:val="32"/>
          <w:szCs w:val="32"/>
          <w:highlight w:val="none"/>
          <w:u w:val="none"/>
        </w:rPr>
        <w:t>；</w:t>
      </w:r>
      <w:r>
        <w:rPr>
          <w:rFonts w:eastAsia="仿宋_GB2312"/>
          <w:color w:val="auto"/>
          <w:spacing w:val="-4"/>
          <w:sz w:val="32"/>
          <w:szCs w:val="32"/>
          <w:highlight w:val="none"/>
          <w:u w:val="none"/>
        </w:rPr>
        <w:t>其中：</w:t>
      </w:r>
    </w:p>
    <w:p w14:paraId="534DA590">
      <w:pPr>
        <w:pStyle w:val="8"/>
        <w:spacing w:after="0" w:line="600" w:lineRule="exact"/>
        <w:ind w:left="17" w:leftChars="8" w:firstLine="640" w:firstLineChars="200"/>
        <w:rPr>
          <w:rFonts w:eastAsia="仿宋_GB2312"/>
          <w:color w:val="auto"/>
          <w:sz w:val="32"/>
          <w:szCs w:val="32"/>
          <w:highlight w:val="none"/>
          <w:u w:val="none"/>
        </w:rPr>
      </w:pPr>
      <w:r>
        <w:rPr>
          <w:rFonts w:eastAsia="仿宋_GB2312"/>
          <w:color w:val="auto"/>
          <w:sz w:val="32"/>
          <w:szCs w:val="32"/>
          <w:highlight w:val="none"/>
          <w:u w:val="none"/>
        </w:rPr>
        <w:t>1．因公出国（境）费预算支出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万元，比上年预算增加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万元，主要原因</w:t>
      </w:r>
      <w:r>
        <w:rPr>
          <w:rFonts w:hint="eastAsia" w:ascii="Times New Roman" w:hAnsi="Times New Roman" w:eastAsia="仿宋_GB2312" w:cs="仿宋"/>
          <w:color w:val="auto"/>
          <w:sz w:val="32"/>
          <w:szCs w:val="32"/>
          <w:highlight w:val="none"/>
          <w:u w:val="none"/>
        </w:rPr>
        <w:t>本部门无</w:t>
      </w:r>
      <w:r>
        <w:rPr>
          <w:rFonts w:eastAsia="仿宋_GB2312"/>
          <w:color w:val="auto"/>
          <w:sz w:val="32"/>
          <w:szCs w:val="32"/>
          <w:highlight w:val="none"/>
          <w:u w:val="none"/>
        </w:rPr>
        <w:t>因公出国（境）费预算支出。</w:t>
      </w:r>
    </w:p>
    <w:p w14:paraId="73821C5D">
      <w:pPr>
        <w:pStyle w:val="8"/>
        <w:tabs>
          <w:tab w:val="left" w:pos="2671"/>
          <w:tab w:val="left" w:pos="5000"/>
          <w:tab w:val="left" w:pos="6190"/>
        </w:tabs>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2．公务用车购置及运行维护费预算支出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万元。其中：</w:t>
      </w:r>
    </w:p>
    <w:p w14:paraId="0B864E15">
      <w:pPr>
        <w:pStyle w:val="8"/>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（1）公务用车购置预算支出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万元，比上年预算增加</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万元，主要原因</w:t>
      </w:r>
      <w:r>
        <w:rPr>
          <w:rFonts w:hint="eastAsia" w:ascii="Times New Roman" w:hAnsi="Times New Roman" w:eastAsia="仿宋_GB2312" w:cs="仿宋"/>
          <w:color w:val="auto"/>
          <w:sz w:val="32"/>
          <w:szCs w:val="32"/>
          <w:highlight w:val="none"/>
          <w:u w:val="none"/>
        </w:rPr>
        <w:t>本部门无</w:t>
      </w:r>
      <w:r>
        <w:rPr>
          <w:rFonts w:eastAsia="仿宋_GB2312"/>
          <w:color w:val="auto"/>
          <w:sz w:val="32"/>
          <w:szCs w:val="32"/>
          <w:highlight w:val="none"/>
          <w:u w:val="none"/>
        </w:rPr>
        <w:t>公务用车购置预算支出。</w:t>
      </w:r>
    </w:p>
    <w:p w14:paraId="0B401451">
      <w:pPr>
        <w:pStyle w:val="8"/>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（2）公务用车运行维护费预算支出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万元，比上年预算增加（减少）</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万元，主要原因</w:t>
      </w:r>
      <w:r>
        <w:rPr>
          <w:rFonts w:hint="eastAsia" w:ascii="Times New Roman" w:hAnsi="Times New Roman" w:eastAsia="仿宋_GB2312" w:cs="仿宋"/>
          <w:color w:val="auto"/>
          <w:sz w:val="32"/>
          <w:szCs w:val="32"/>
          <w:highlight w:val="none"/>
          <w:u w:val="none"/>
        </w:rPr>
        <w:t>本部门无</w:t>
      </w:r>
      <w:r>
        <w:rPr>
          <w:rFonts w:eastAsia="仿宋_GB2312"/>
          <w:color w:val="auto"/>
          <w:sz w:val="32"/>
          <w:szCs w:val="32"/>
          <w:highlight w:val="none"/>
          <w:u w:val="none"/>
        </w:rPr>
        <w:t>公务用车运行维护费预算支出。</w:t>
      </w:r>
    </w:p>
    <w:p w14:paraId="5DC0BE89">
      <w:pPr>
        <w:pStyle w:val="8"/>
        <w:spacing w:after="0" w:line="60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3．公务接待费预算支出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万元，比上年预算增加</w:t>
      </w:r>
      <w:r>
        <w:rPr>
          <w:rFonts w:eastAsia="仿宋_GB2312"/>
          <w:color w:val="auto"/>
          <w:sz w:val="32"/>
          <w:szCs w:val="32"/>
          <w:highlight w:val="none"/>
          <w:u w:val="none"/>
        </w:rPr>
        <w:tab/>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万元，主要原因</w:t>
      </w:r>
      <w:r>
        <w:rPr>
          <w:rFonts w:hint="eastAsia" w:ascii="Times New Roman" w:hAnsi="Times New Roman" w:eastAsia="仿宋_GB2312" w:cs="仿宋"/>
          <w:color w:val="auto"/>
          <w:sz w:val="32"/>
          <w:szCs w:val="32"/>
          <w:highlight w:val="none"/>
          <w:u w:val="none"/>
        </w:rPr>
        <w:t>本部门</w:t>
      </w:r>
      <w:r>
        <w:rPr>
          <w:rFonts w:eastAsia="仿宋_GB2312"/>
          <w:color w:val="auto"/>
          <w:sz w:val="32"/>
          <w:szCs w:val="32"/>
          <w:highlight w:val="none"/>
          <w:u w:val="none"/>
        </w:rPr>
        <w:t>公务接待费预算支出。</w:t>
      </w:r>
    </w:p>
    <w:p w14:paraId="16A32744">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八、政府性基金预算支出预算情况说明</w:t>
      </w:r>
    </w:p>
    <w:p w14:paraId="784134E9">
      <w:pPr>
        <w:pStyle w:val="8"/>
        <w:spacing w:after="0" w:line="600" w:lineRule="exact"/>
        <w:ind w:left="17" w:leftChars="8" w:firstLine="640" w:firstLineChars="200"/>
        <w:rPr>
          <w:rFonts w:hint="eastAsia" w:eastAsia="仿宋_GB2312"/>
          <w:color w:val="auto"/>
          <w:sz w:val="32"/>
          <w:szCs w:val="32"/>
          <w:highlight w:val="none"/>
          <w:u w:val="none"/>
          <w:lang w:eastAsia="zh-CN"/>
        </w:rPr>
      </w:pPr>
      <w:r>
        <w:rPr>
          <w:rFonts w:hint="eastAsia" w:ascii="仿宋_GB2312" w:hAnsi="仿宋_GB2312" w:eastAsia="仿宋_GB2312" w:cs="仿宋"/>
          <w:color w:val="auto"/>
          <w:sz w:val="32"/>
          <w:szCs w:val="32"/>
          <w:highlight w:val="none"/>
          <w:u w:val="none"/>
          <w:lang w:val="en-US" w:eastAsia="zh-CN"/>
        </w:rPr>
        <w:t>内蒙古医科大学附属敕勒川医院2026</w:t>
      </w:r>
      <w:r>
        <w:rPr>
          <w:rFonts w:eastAsia="仿宋_GB2312"/>
          <w:color w:val="auto"/>
          <w:sz w:val="32"/>
          <w:szCs w:val="32"/>
          <w:highlight w:val="none"/>
          <w:u w:val="none"/>
        </w:rPr>
        <w:t>年度政府性基金支出预算支出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w:t>
      </w:r>
      <w:r>
        <w:rPr>
          <w:rFonts w:hint="eastAsia" w:ascii="Times New Roman" w:hAnsi="Times New Roman" w:eastAsia="仿宋_GB2312" w:cs="仿宋"/>
          <w:color w:val="auto"/>
          <w:sz w:val="32"/>
          <w:szCs w:val="32"/>
          <w:highlight w:val="none"/>
          <w:u w:val="none"/>
        </w:rPr>
        <w:t>本部门无政府性基金预算支出</w:t>
      </w:r>
      <w:r>
        <w:rPr>
          <w:rFonts w:hint="eastAsia" w:eastAsia="仿宋_GB2312" w:cs="仿宋"/>
          <w:color w:val="auto"/>
          <w:sz w:val="32"/>
          <w:szCs w:val="32"/>
          <w:highlight w:val="none"/>
          <w:u w:val="none"/>
          <w:lang w:eastAsia="zh-CN"/>
        </w:rPr>
        <w:t>。</w:t>
      </w:r>
    </w:p>
    <w:p w14:paraId="5E854242">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九、国有资本经营预算支出预算情况说明</w:t>
      </w:r>
    </w:p>
    <w:p w14:paraId="07527414">
      <w:pPr>
        <w:spacing w:line="600" w:lineRule="exact"/>
        <w:ind w:firstLine="640" w:firstLineChars="200"/>
        <w:rPr>
          <w:rFonts w:hint="eastAsia" w:eastAsia="仿宋_GB2312" w:cstheme="minorBidi"/>
          <w:color w:val="auto"/>
          <w:sz w:val="32"/>
          <w:szCs w:val="32"/>
          <w:highlight w:val="none"/>
          <w:u w:val="none"/>
          <w:lang w:val="en-US" w:eastAsia="zh-CN"/>
        </w:rPr>
      </w:pPr>
      <w:r>
        <w:rPr>
          <w:rFonts w:hint="eastAsia" w:ascii="仿宋_GB2312" w:hAnsi="仿宋_GB2312" w:eastAsia="仿宋_GB2312" w:cs="仿宋"/>
          <w:color w:val="auto"/>
          <w:sz w:val="32"/>
          <w:szCs w:val="32"/>
          <w:highlight w:val="none"/>
          <w:u w:val="none"/>
          <w:lang w:val="en-US" w:eastAsia="zh-CN"/>
        </w:rPr>
        <w:t>内蒙古医科大学附属敕勒川医院2026</w:t>
      </w:r>
      <w:r>
        <w:rPr>
          <w:rFonts w:eastAsia="仿宋_GB2312"/>
          <w:color w:val="auto"/>
          <w:sz w:val="32"/>
          <w:szCs w:val="32"/>
          <w:highlight w:val="none"/>
          <w:u w:val="none"/>
        </w:rPr>
        <w:t>年度</w:t>
      </w:r>
      <w:r>
        <w:rPr>
          <w:rFonts w:hint="eastAsia" w:eastAsia="仿宋_GB2312" w:cstheme="minorBidi"/>
          <w:color w:val="auto"/>
          <w:sz w:val="32"/>
          <w:szCs w:val="32"/>
          <w:highlight w:val="none"/>
          <w:u w:val="none"/>
        </w:rPr>
        <w:t>国有资本经营预算支出</w:t>
      </w:r>
      <w:r>
        <w:rPr>
          <w:rFonts w:hint="eastAsia" w:eastAsia="仿宋_GB2312" w:cstheme="minorBidi"/>
          <w:color w:val="auto"/>
          <w:sz w:val="32"/>
          <w:szCs w:val="32"/>
          <w:highlight w:val="none"/>
          <w:u w:val="none"/>
        </w:rPr>
        <w:tab/>
      </w:r>
      <w:r>
        <w:rPr>
          <w:rFonts w:hint="eastAsia" w:eastAsia="仿宋_GB2312" w:cstheme="minorBidi"/>
          <w:color w:val="auto"/>
          <w:sz w:val="32"/>
          <w:szCs w:val="32"/>
          <w:highlight w:val="none"/>
          <w:u w:val="none"/>
          <w:lang w:val="en-US" w:eastAsia="zh-CN"/>
        </w:rPr>
        <w:t>0</w:t>
      </w:r>
      <w:r>
        <w:rPr>
          <w:rFonts w:hint="eastAsia" w:eastAsia="仿宋_GB2312" w:cstheme="minorBidi"/>
          <w:color w:val="auto"/>
          <w:sz w:val="32"/>
          <w:szCs w:val="32"/>
          <w:highlight w:val="none"/>
          <w:u w:val="none"/>
        </w:rPr>
        <w:t xml:space="preserve">  万元</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本部门无国有资本经营预算支出</w:t>
      </w:r>
      <w:r>
        <w:rPr>
          <w:rFonts w:hint="eastAsia" w:eastAsia="仿宋_GB2312" w:cstheme="minorBidi"/>
          <w:color w:val="auto"/>
          <w:sz w:val="32"/>
          <w:szCs w:val="32"/>
          <w:highlight w:val="none"/>
          <w:u w:val="none"/>
          <w:lang w:eastAsia="zh-CN"/>
        </w:rPr>
        <w:t>。</w:t>
      </w:r>
    </w:p>
    <w:p w14:paraId="7E0D0A21">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十、项目支出预算情况说明</w:t>
      </w:r>
    </w:p>
    <w:p w14:paraId="76C58BDE">
      <w:pPr>
        <w:spacing w:line="600" w:lineRule="exact"/>
        <w:ind w:firstLine="640" w:firstLineChars="200"/>
        <w:rPr>
          <w:rFonts w:eastAsia="仿宋_GB2312"/>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内蒙古医科大学附属敕勒川医院2026</w:t>
      </w:r>
      <w:r>
        <w:rPr>
          <w:rFonts w:eastAsia="仿宋_GB2312"/>
          <w:color w:val="auto"/>
          <w:sz w:val="32"/>
          <w:szCs w:val="32"/>
          <w:highlight w:val="none"/>
          <w:u w:val="none"/>
        </w:rPr>
        <w:t>年度预算安排项目</w:t>
      </w:r>
      <w:r>
        <w:rPr>
          <w:rFonts w:hint="eastAsia" w:eastAsia="仿宋_GB2312"/>
          <w:color w:val="auto"/>
          <w:sz w:val="32"/>
          <w:szCs w:val="32"/>
          <w:highlight w:val="none"/>
          <w:u w:val="none"/>
          <w:lang w:val="en-US" w:eastAsia="zh-CN"/>
        </w:rPr>
        <w:t>1</w:t>
      </w:r>
      <w:r>
        <w:rPr>
          <w:rFonts w:eastAsia="仿宋_GB2312"/>
          <w:color w:val="auto"/>
          <w:sz w:val="32"/>
          <w:szCs w:val="32"/>
          <w:highlight w:val="none"/>
          <w:u w:val="none"/>
        </w:rPr>
        <w:t>个，项目预算总金额</w:t>
      </w:r>
      <w:r>
        <w:rPr>
          <w:rFonts w:hint="eastAsia" w:eastAsia="仿宋_GB2312"/>
          <w:color w:val="auto"/>
          <w:sz w:val="32"/>
          <w:szCs w:val="32"/>
          <w:highlight w:val="none"/>
          <w:u w:val="none"/>
          <w:lang w:val="en-US" w:eastAsia="zh-CN"/>
        </w:rPr>
        <w:t>10000</w:t>
      </w:r>
      <w:r>
        <w:rPr>
          <w:rFonts w:eastAsia="仿宋_GB2312"/>
          <w:color w:val="auto"/>
          <w:sz w:val="32"/>
          <w:szCs w:val="32"/>
          <w:highlight w:val="none"/>
          <w:u w:val="none"/>
        </w:rPr>
        <w:t>万元。其中，财政本年拨款金额</w:t>
      </w:r>
      <w:r>
        <w:rPr>
          <w:rFonts w:hint="eastAsia" w:eastAsia="仿宋_GB2312"/>
          <w:color w:val="auto"/>
          <w:sz w:val="32"/>
          <w:szCs w:val="32"/>
          <w:highlight w:val="none"/>
          <w:u w:val="none"/>
          <w:lang w:val="en-US" w:eastAsia="zh-CN"/>
        </w:rPr>
        <w:t>10000</w:t>
      </w:r>
      <w:r>
        <w:rPr>
          <w:rFonts w:eastAsia="仿宋_GB2312"/>
          <w:color w:val="auto"/>
          <w:sz w:val="32"/>
          <w:szCs w:val="32"/>
          <w:highlight w:val="none"/>
          <w:u w:val="none"/>
        </w:rPr>
        <w:t>万元，财政拨款结转结余</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w:t>
      </w:r>
    </w:p>
    <w:p w14:paraId="28A68141">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十一、</w:t>
      </w:r>
      <w:r>
        <w:rPr>
          <w:rFonts w:hint="eastAsia" w:eastAsia="黑体" w:cs="黑体"/>
          <w:color w:val="auto"/>
          <w:sz w:val="32"/>
          <w:szCs w:val="36"/>
          <w:highlight w:val="none"/>
          <w:u w:val="none"/>
          <w:lang w:val="en-US" w:eastAsia="zh-CN"/>
        </w:rPr>
        <w:t>机构</w:t>
      </w:r>
      <w:r>
        <w:rPr>
          <w:rFonts w:hint="eastAsia" w:eastAsia="黑体" w:cs="黑体"/>
          <w:color w:val="auto"/>
          <w:sz w:val="32"/>
          <w:szCs w:val="36"/>
          <w:highlight w:val="none"/>
          <w:u w:val="none"/>
        </w:rPr>
        <w:t>运行经费支出预算情况说明</w:t>
      </w:r>
    </w:p>
    <w:p w14:paraId="11F138C4">
      <w:pPr>
        <w:spacing w:line="600" w:lineRule="exact"/>
        <w:ind w:firstLine="640" w:firstLineChars="200"/>
        <w:rPr>
          <w:rFonts w:hint="default" w:eastAsia="仿宋_GB2312" w:cstheme="minorBidi"/>
          <w:color w:val="auto"/>
          <w:sz w:val="32"/>
          <w:szCs w:val="32"/>
          <w:highlight w:val="none"/>
          <w:u w:val="none"/>
          <w:lang w:val="en-US" w:eastAsia="zh-CN"/>
        </w:rPr>
      </w:pPr>
      <w:r>
        <w:rPr>
          <w:rFonts w:hint="eastAsia" w:ascii="仿宋_GB2312" w:hAnsi="仿宋_GB2312" w:eastAsia="仿宋_GB2312" w:cs="仿宋"/>
          <w:color w:val="auto"/>
          <w:sz w:val="32"/>
          <w:szCs w:val="32"/>
          <w:highlight w:val="none"/>
          <w:u w:val="none"/>
          <w:lang w:val="en-US" w:eastAsia="zh-CN"/>
        </w:rPr>
        <w:t>内蒙古医科大学附属敕勒川医院2026</w:t>
      </w:r>
      <w:r>
        <w:rPr>
          <w:rFonts w:eastAsia="仿宋_GB2312"/>
          <w:color w:val="auto"/>
          <w:sz w:val="32"/>
          <w:szCs w:val="32"/>
          <w:highlight w:val="none"/>
          <w:u w:val="none"/>
        </w:rPr>
        <w:t>年度</w:t>
      </w:r>
      <w:r>
        <w:rPr>
          <w:rFonts w:hint="eastAsia" w:eastAsia="仿宋_GB2312"/>
          <w:color w:val="auto"/>
          <w:sz w:val="32"/>
          <w:szCs w:val="32"/>
          <w:highlight w:val="none"/>
          <w:u w:val="none"/>
          <w:lang w:val="en-US" w:eastAsia="zh-CN"/>
        </w:rPr>
        <w:t>机构</w:t>
      </w:r>
      <w:r>
        <w:rPr>
          <w:rFonts w:eastAsia="仿宋_GB2312"/>
          <w:color w:val="auto"/>
          <w:sz w:val="32"/>
          <w:szCs w:val="32"/>
          <w:highlight w:val="none"/>
          <w:u w:val="none"/>
        </w:rPr>
        <w:t>运行经费预算支出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w:t>
      </w:r>
      <w:r>
        <w:rPr>
          <w:rFonts w:hint="eastAsia" w:eastAsia="仿宋_GB2312"/>
          <w:color w:val="auto"/>
          <w:sz w:val="32"/>
          <w:szCs w:val="32"/>
          <w:highlight w:val="none"/>
          <w:u w:val="none"/>
          <w:lang w:val="en-US" w:eastAsia="zh-CN"/>
        </w:rPr>
        <w:t>2025年本部门机构</w:t>
      </w:r>
      <w:r>
        <w:rPr>
          <w:rFonts w:eastAsia="仿宋_GB2312"/>
          <w:color w:val="auto"/>
          <w:sz w:val="32"/>
          <w:szCs w:val="32"/>
          <w:highlight w:val="none"/>
          <w:u w:val="none"/>
        </w:rPr>
        <w:t>运行经费预算支出</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万元</w:t>
      </w:r>
      <w:r>
        <w:rPr>
          <w:rFonts w:hint="eastAsia" w:eastAsia="仿宋_GB2312"/>
          <w:color w:val="auto"/>
          <w:sz w:val="32"/>
          <w:szCs w:val="32"/>
          <w:highlight w:val="none"/>
          <w:u w:val="none"/>
          <w:lang w:eastAsia="zh-CN"/>
        </w:rPr>
        <w:t>，</w:t>
      </w:r>
      <w:r>
        <w:rPr>
          <w:rFonts w:hint="eastAsia" w:eastAsia="仿宋_GB2312"/>
          <w:color w:val="auto"/>
          <w:sz w:val="32"/>
          <w:szCs w:val="32"/>
          <w:highlight w:val="none"/>
          <w:u w:val="none"/>
          <w:lang w:val="en-US" w:eastAsia="zh-CN"/>
        </w:rPr>
        <w:t>无变动。</w:t>
      </w:r>
    </w:p>
    <w:p w14:paraId="063E19FE">
      <w:pPr>
        <w:spacing w:line="600" w:lineRule="exact"/>
        <w:ind w:left="0" w:leftChars="0" w:firstLine="640" w:firstLineChars="200"/>
        <w:outlineLvl w:val="2"/>
        <w:rPr>
          <w:rFonts w:eastAsia="黑体" w:cs="黑体"/>
          <w:b/>
          <w:bCs/>
          <w:color w:val="auto"/>
          <w:sz w:val="32"/>
          <w:szCs w:val="36"/>
          <w:highlight w:val="none"/>
          <w:u w:val="none"/>
        </w:rPr>
      </w:pPr>
      <w:r>
        <w:rPr>
          <w:rFonts w:hint="eastAsia" w:eastAsia="黑体" w:cs="黑体"/>
          <w:color w:val="auto"/>
          <w:sz w:val="32"/>
          <w:szCs w:val="36"/>
          <w:highlight w:val="none"/>
          <w:u w:val="none"/>
        </w:rPr>
        <w:t>十二、政府采购支出预算情况说明</w:t>
      </w:r>
    </w:p>
    <w:p w14:paraId="5A6F6F54">
      <w:pPr>
        <w:spacing w:line="600" w:lineRule="exact"/>
        <w:ind w:firstLine="640" w:firstLineChars="200"/>
        <w:rPr>
          <w:rFonts w:hint="eastAsia" w:eastAsia="仿宋_GB2312"/>
          <w:color w:val="auto"/>
          <w:sz w:val="32"/>
          <w:szCs w:val="32"/>
          <w:highlight w:val="yellow"/>
          <w:u w:val="none"/>
          <w:lang w:eastAsia="zh-CN"/>
        </w:rPr>
      </w:pPr>
      <w:r>
        <w:rPr>
          <w:rFonts w:hint="eastAsia" w:ascii="仿宋_GB2312" w:hAnsi="仿宋_GB2312" w:eastAsia="仿宋_GB2312" w:cs="仿宋"/>
          <w:color w:val="auto"/>
          <w:sz w:val="32"/>
          <w:szCs w:val="32"/>
          <w:highlight w:val="none"/>
          <w:u w:val="none"/>
          <w:lang w:val="en-US" w:eastAsia="zh-CN"/>
        </w:rPr>
        <w:t>内蒙古医科大学附属敕勒川医院2026</w:t>
      </w:r>
      <w:r>
        <w:rPr>
          <w:rFonts w:eastAsia="仿宋_GB2312"/>
          <w:color w:val="auto"/>
          <w:sz w:val="32"/>
          <w:szCs w:val="32"/>
          <w:highlight w:val="none"/>
          <w:u w:val="none"/>
        </w:rPr>
        <w:t>年度政府采购支出预算总额</w:t>
      </w:r>
      <w:r>
        <w:rPr>
          <w:rFonts w:hint="eastAsia" w:eastAsia="仿宋_GB2312"/>
          <w:color w:val="auto"/>
          <w:sz w:val="32"/>
          <w:szCs w:val="32"/>
          <w:highlight w:val="none"/>
          <w:u w:val="none"/>
          <w:lang w:val="en-US" w:eastAsia="zh-CN"/>
        </w:rPr>
        <w:t>10000</w:t>
      </w:r>
      <w:r>
        <w:rPr>
          <w:rFonts w:eastAsia="仿宋_GB2312"/>
          <w:color w:val="auto"/>
          <w:sz w:val="32"/>
          <w:szCs w:val="32"/>
          <w:highlight w:val="none"/>
          <w:u w:val="none"/>
        </w:rPr>
        <w:t>万元，其中：拟采购货物支出</w:t>
      </w:r>
      <w:r>
        <w:rPr>
          <w:rFonts w:hint="eastAsia" w:eastAsia="仿宋_GB2312"/>
          <w:color w:val="auto"/>
          <w:sz w:val="32"/>
          <w:szCs w:val="32"/>
          <w:highlight w:val="none"/>
          <w:u w:val="none"/>
          <w:lang w:val="en-US" w:eastAsia="zh-CN"/>
        </w:rPr>
        <w:t>8500</w:t>
      </w:r>
      <w:r>
        <w:rPr>
          <w:rFonts w:eastAsia="仿宋_GB2312"/>
          <w:color w:val="auto"/>
          <w:sz w:val="32"/>
          <w:szCs w:val="32"/>
          <w:highlight w:val="none"/>
          <w:u w:val="none"/>
        </w:rPr>
        <w:t>万元</w:t>
      </w:r>
      <w:r>
        <w:rPr>
          <w:rFonts w:hint="eastAsia" w:eastAsia="仿宋_GB2312"/>
          <w:color w:val="auto"/>
          <w:sz w:val="32"/>
          <w:szCs w:val="32"/>
          <w:highlight w:val="none"/>
          <w:u w:val="none"/>
          <w:lang w:eastAsia="zh-CN"/>
        </w:rPr>
        <w:t>。</w:t>
      </w:r>
    </w:p>
    <w:p w14:paraId="2B312047">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十三、国有资产占用情况说明</w:t>
      </w:r>
    </w:p>
    <w:p w14:paraId="78383938">
      <w:pPr>
        <w:spacing w:line="600" w:lineRule="exact"/>
        <w:ind w:firstLine="640" w:firstLineChars="200"/>
        <w:rPr>
          <w:rFonts w:eastAsia="仿宋_GB2312" w:cstheme="minorBidi"/>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内蒙古医科大学附属敕勒川</w:t>
      </w:r>
      <w:bookmarkStart w:id="4" w:name="_GoBack"/>
      <w:bookmarkEnd w:id="4"/>
      <w:r>
        <w:rPr>
          <w:rFonts w:hint="eastAsia" w:ascii="仿宋_GB2312" w:hAnsi="仿宋_GB2312" w:eastAsia="仿宋_GB2312" w:cs="仿宋"/>
          <w:color w:val="auto"/>
          <w:sz w:val="32"/>
          <w:szCs w:val="32"/>
          <w:highlight w:val="none"/>
          <w:u w:val="none"/>
          <w:lang w:val="en-US" w:eastAsia="zh-CN"/>
        </w:rPr>
        <w:t>医院</w:t>
      </w:r>
      <w:r>
        <w:rPr>
          <w:rFonts w:eastAsia="仿宋_GB2312"/>
          <w:color w:val="auto"/>
          <w:sz w:val="32"/>
          <w:szCs w:val="32"/>
          <w:highlight w:val="none"/>
          <w:u w:val="none"/>
        </w:rPr>
        <w:t>共有车辆</w:t>
      </w:r>
      <w:r>
        <w:rPr>
          <w:rFonts w:eastAsia="仿宋_GB2312"/>
          <w:color w:val="auto"/>
          <w:sz w:val="32"/>
          <w:szCs w:val="32"/>
          <w:highlight w:val="none"/>
          <w:u w:val="none"/>
        </w:rPr>
        <w:tab/>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辆，其中，一般公务用车</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辆、执法执勤用车</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辆、特种专业技术用车</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辆、业务用车</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辆、其他用车</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辆等</w:t>
      </w:r>
      <w:r>
        <w:rPr>
          <w:rFonts w:hint="eastAsia" w:eastAsia="仿宋_GB2312"/>
          <w:color w:val="auto"/>
          <w:sz w:val="32"/>
          <w:szCs w:val="32"/>
          <w:highlight w:val="none"/>
          <w:u w:val="none"/>
          <w:lang w:eastAsia="zh-CN"/>
        </w:rPr>
        <w:t>。</w:t>
      </w:r>
      <w:r>
        <w:rPr>
          <w:rFonts w:eastAsia="仿宋_GB2312"/>
          <w:color w:val="auto"/>
          <w:sz w:val="32"/>
          <w:szCs w:val="32"/>
          <w:highlight w:val="none"/>
          <w:u w:val="none"/>
        </w:rPr>
        <w:t>单价50万元（含）以上的设备</w:t>
      </w:r>
      <w:r>
        <w:rPr>
          <w:rFonts w:eastAsia="仿宋_GB2312"/>
          <w:color w:val="auto"/>
          <w:sz w:val="32"/>
          <w:szCs w:val="32"/>
          <w:highlight w:val="none"/>
          <w:u w:val="none"/>
        </w:rPr>
        <w:tab/>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台（套），单价100万元（含）以上的设备</w:t>
      </w:r>
      <w:r>
        <w:rPr>
          <w:rFonts w:hint="eastAsia" w:eastAsia="仿宋_GB2312"/>
          <w:color w:val="auto"/>
          <w:sz w:val="32"/>
          <w:szCs w:val="32"/>
          <w:highlight w:val="none"/>
          <w:u w:val="none"/>
          <w:lang w:val="en-US" w:eastAsia="zh-CN"/>
        </w:rPr>
        <w:t>0</w:t>
      </w:r>
      <w:r>
        <w:rPr>
          <w:rFonts w:eastAsia="仿宋_GB2312"/>
          <w:color w:val="auto"/>
          <w:sz w:val="32"/>
          <w:szCs w:val="32"/>
          <w:highlight w:val="none"/>
          <w:u w:val="none"/>
        </w:rPr>
        <w:t xml:space="preserve"> 台（套）。</w:t>
      </w:r>
    </w:p>
    <w:p w14:paraId="23BD5844">
      <w:pPr>
        <w:spacing w:line="600" w:lineRule="exact"/>
        <w:ind w:left="0" w:leftChars="0" w:firstLine="640" w:firstLineChars="200"/>
        <w:outlineLvl w:val="2"/>
        <w:rPr>
          <w:rFonts w:eastAsia="黑体" w:cs="黑体"/>
          <w:color w:val="auto"/>
          <w:sz w:val="32"/>
          <w:szCs w:val="36"/>
          <w:highlight w:val="none"/>
          <w:u w:val="none"/>
        </w:rPr>
      </w:pPr>
      <w:r>
        <w:rPr>
          <w:rFonts w:hint="eastAsia" w:eastAsia="黑体" w:cs="黑体"/>
          <w:color w:val="auto"/>
          <w:sz w:val="32"/>
          <w:szCs w:val="36"/>
          <w:highlight w:val="none"/>
          <w:u w:val="none"/>
        </w:rPr>
        <w:t xml:space="preserve">十四、项目绩效目标情况说明 </w:t>
      </w:r>
    </w:p>
    <w:p w14:paraId="6ADF0362">
      <w:pPr>
        <w:spacing w:line="600" w:lineRule="exact"/>
        <w:ind w:firstLine="640" w:firstLineChars="200"/>
        <w:rPr>
          <w:rFonts w:eastAsia="仿宋_GB2312" w:cstheme="minorBidi"/>
          <w:color w:val="auto"/>
          <w:sz w:val="32"/>
          <w:szCs w:val="32"/>
          <w:highlight w:val="none"/>
          <w:u w:val="none"/>
        </w:rPr>
      </w:pPr>
      <w:r>
        <w:rPr>
          <w:rFonts w:hint="eastAsia" w:ascii="仿宋_GB2312" w:hAnsi="仿宋_GB2312" w:eastAsia="仿宋_GB2312" w:cs="仿宋"/>
          <w:color w:val="auto"/>
          <w:sz w:val="32"/>
          <w:szCs w:val="32"/>
          <w:highlight w:val="none"/>
          <w:u w:val="none"/>
          <w:lang w:val="en-US" w:eastAsia="zh-CN"/>
        </w:rPr>
        <w:t>内蒙古医科大学附属敕勒川医院2026</w:t>
      </w:r>
      <w:r>
        <w:rPr>
          <w:rFonts w:eastAsia="仿宋_GB2312"/>
          <w:color w:val="auto"/>
          <w:sz w:val="32"/>
          <w:szCs w:val="32"/>
          <w:highlight w:val="none"/>
          <w:u w:val="none"/>
        </w:rPr>
        <w:t>年度</w:t>
      </w:r>
      <w:r>
        <w:rPr>
          <w:rFonts w:hint="eastAsia" w:eastAsia="仿宋_GB2312" w:cstheme="minorBidi"/>
          <w:color w:val="auto"/>
          <w:sz w:val="32"/>
          <w:szCs w:val="32"/>
          <w:highlight w:val="none"/>
          <w:u w:val="none"/>
        </w:rPr>
        <w:t>填报绩效目标的预算项目</w:t>
      </w:r>
      <w:r>
        <w:rPr>
          <w:rFonts w:hint="eastAsia" w:eastAsia="仿宋_GB2312" w:cstheme="minorBidi"/>
          <w:color w:val="auto"/>
          <w:sz w:val="32"/>
          <w:szCs w:val="32"/>
          <w:highlight w:val="none"/>
          <w:u w:val="none"/>
          <w:lang w:val="en-US" w:eastAsia="zh-CN"/>
        </w:rPr>
        <w:t>1</w:t>
      </w:r>
      <w:r>
        <w:rPr>
          <w:rFonts w:hint="eastAsia" w:eastAsia="仿宋_GB2312" w:cstheme="minorBidi"/>
          <w:color w:val="auto"/>
          <w:sz w:val="32"/>
          <w:szCs w:val="32"/>
          <w:highlight w:val="none"/>
          <w:u w:val="none"/>
        </w:rPr>
        <w:t xml:space="preserve"> 个，公开</w:t>
      </w:r>
      <w:r>
        <w:rPr>
          <w:rFonts w:hint="eastAsia" w:eastAsia="仿宋_GB2312" w:cstheme="minorBidi"/>
          <w:color w:val="auto"/>
          <w:sz w:val="32"/>
          <w:szCs w:val="32"/>
          <w:highlight w:val="none"/>
          <w:u w:val="none"/>
          <w:lang w:val="en-US" w:eastAsia="zh-CN"/>
        </w:rPr>
        <w:t>项目1</w:t>
      </w:r>
      <w:r>
        <w:rPr>
          <w:rFonts w:hint="eastAsia" w:eastAsia="仿宋_GB2312" w:cstheme="minorBidi"/>
          <w:color w:val="auto"/>
          <w:sz w:val="32"/>
          <w:szCs w:val="32"/>
          <w:highlight w:val="none"/>
          <w:u w:val="none"/>
        </w:rPr>
        <w:t>个，公开项目占全部预算项目的100</w:t>
      </w:r>
      <w:r>
        <w:rPr>
          <w:rFonts w:hint="eastAsia" w:ascii="仿宋_GB2312" w:hAnsi="仿宋_GB2312"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。公开填报绩效目标的项目预算</w:t>
      </w:r>
      <w:r>
        <w:rPr>
          <w:rFonts w:hint="eastAsia" w:eastAsia="仿宋_GB2312" w:cstheme="minorBidi"/>
          <w:color w:val="auto"/>
          <w:sz w:val="32"/>
          <w:szCs w:val="32"/>
          <w:highlight w:val="none"/>
          <w:u w:val="none"/>
          <w:lang w:val="en-US" w:eastAsia="zh-CN"/>
        </w:rPr>
        <w:t>10000</w:t>
      </w:r>
      <w:r>
        <w:rPr>
          <w:rFonts w:hint="eastAsia" w:eastAsia="仿宋_GB2312" w:cstheme="minorBidi"/>
          <w:color w:val="auto"/>
          <w:sz w:val="32"/>
          <w:szCs w:val="32"/>
          <w:highlight w:val="none"/>
          <w:u w:val="none"/>
        </w:rPr>
        <w:t>万元，占全部项目预算的100</w:t>
      </w:r>
      <w:r>
        <w:rPr>
          <w:rFonts w:hint="eastAsia" w:ascii="仿宋_GB2312" w:hAnsi="仿宋_GB2312"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 xml:space="preserve">。 </w:t>
      </w:r>
    </w:p>
    <w:p w14:paraId="2C14426F">
      <w:pPr>
        <w:pStyle w:val="18"/>
        <w:spacing w:after="0" w:line="600" w:lineRule="exact"/>
        <w:rPr>
          <w:rFonts w:hint="default" w:ascii="方正小标宋简体" w:hAnsi="方正小标宋简体" w:eastAsia="方正小标宋简体" w:cs="方正小标宋简体"/>
          <w:color w:val="auto"/>
          <w:sz w:val="36"/>
          <w:szCs w:val="36"/>
          <w:highlight w:val="none"/>
          <w:u w:val="none"/>
        </w:rPr>
      </w:pPr>
    </w:p>
    <w:p w14:paraId="2A004662">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color w:val="auto"/>
          <w:sz w:val="36"/>
          <w:szCs w:val="36"/>
          <w:highlight w:val="none"/>
          <w:u w:val="none"/>
        </w:rPr>
      </w:pPr>
      <w:bookmarkStart w:id="2" w:name="_Toc15573"/>
      <w:r>
        <w:rPr>
          <w:rFonts w:hint="eastAsia" w:ascii="方正小标宋简体" w:hAnsi="方正小标宋简体" w:eastAsia="方正小标宋简体" w:cs="方正小标宋简体"/>
          <w:b w:val="0"/>
          <w:bCs w:val="0"/>
          <w:color w:val="auto"/>
          <w:sz w:val="36"/>
          <w:szCs w:val="36"/>
          <w:highlight w:val="none"/>
          <w:u w:val="none"/>
        </w:rPr>
        <w:t>第三部分</w:t>
      </w:r>
      <w:r>
        <w:rPr>
          <w:rFonts w:hint="eastAsia" w:ascii="方正小标宋简体" w:hAnsi="方正小标宋简体" w:eastAsia="方正小标宋简体" w:cs="方正小标宋简体"/>
          <w:b w:val="0"/>
          <w:bCs w:val="0"/>
          <w:color w:val="auto"/>
          <w:sz w:val="36"/>
          <w:szCs w:val="36"/>
          <w:highlight w:val="none"/>
          <w:u w:val="none"/>
          <w:lang w:val="en-US" w:eastAsia="zh-CN"/>
        </w:rPr>
        <w:t xml:space="preserve">  </w:t>
      </w:r>
      <w:r>
        <w:rPr>
          <w:rFonts w:hint="eastAsia" w:ascii="方正小标宋简体" w:hAnsi="方正小标宋简体" w:eastAsia="方正小标宋简体" w:cs="方正小标宋简体"/>
          <w:b w:val="0"/>
          <w:bCs w:val="0"/>
          <w:color w:val="auto"/>
          <w:sz w:val="36"/>
          <w:szCs w:val="36"/>
          <w:highlight w:val="none"/>
          <w:u w:val="none"/>
        </w:rPr>
        <w:t>名词解释</w:t>
      </w:r>
      <w:bookmarkEnd w:id="2"/>
    </w:p>
    <w:p w14:paraId="46DCF320">
      <w:pPr>
        <w:rPr>
          <w:color w:val="auto"/>
          <w:sz w:val="36"/>
          <w:szCs w:val="36"/>
          <w:highlight w:val="none"/>
          <w:u w:val="none"/>
        </w:rPr>
      </w:pPr>
    </w:p>
    <w:p w14:paraId="1356F680">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一、财政拨款：</w:t>
      </w:r>
      <w:r>
        <w:rPr>
          <w:rFonts w:hint="eastAsia" w:eastAsia="仿宋_GB2312" w:cstheme="minorBidi"/>
          <w:color w:val="auto"/>
          <w:sz w:val="32"/>
          <w:szCs w:val="32"/>
          <w:highlight w:val="none"/>
          <w:u w:val="none"/>
        </w:rPr>
        <w:t>从同级财政部门取得的各类财政拨款，包括一般公共预算拨款、政府性基金预算拨款、国有资本经营预算拨款。</w:t>
      </w:r>
    </w:p>
    <w:p w14:paraId="06E25E91">
      <w:pPr>
        <w:spacing w:line="600" w:lineRule="exact"/>
        <w:ind w:firstLine="643" w:firstLineChars="200"/>
        <w:rPr>
          <w:color w:val="auto"/>
          <w:highlight w:val="none"/>
          <w:u w:val="none"/>
        </w:rPr>
      </w:pPr>
      <w:r>
        <w:rPr>
          <w:rFonts w:hint="eastAsia" w:eastAsia="仿宋_GB2312" w:cstheme="minorBidi"/>
          <w:b/>
          <w:bCs/>
          <w:color w:val="auto"/>
          <w:sz w:val="32"/>
          <w:szCs w:val="32"/>
          <w:highlight w:val="none"/>
          <w:u w:val="none"/>
        </w:rPr>
        <w:t>二、一般公共预算拨款收入：</w:t>
      </w:r>
      <w:r>
        <w:rPr>
          <w:rFonts w:hint="eastAsia" w:ascii="Times New Roman" w:hAnsi="Times New Roman" w:eastAsia="仿宋_GB2312" w:cs="仿宋"/>
          <w:bCs/>
          <w:color w:val="auto"/>
          <w:sz w:val="30"/>
          <w:szCs w:val="30"/>
          <w:highlight w:val="none"/>
          <w:u w:val="none"/>
        </w:rPr>
        <w:t>指财政当年拨付的资金。</w:t>
      </w:r>
    </w:p>
    <w:p w14:paraId="1342A912">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三、财政专户管理资金：</w:t>
      </w:r>
      <w:r>
        <w:rPr>
          <w:rFonts w:hint="eastAsia" w:eastAsia="仿宋_GB2312" w:cstheme="minorBidi"/>
          <w:color w:val="auto"/>
          <w:sz w:val="32"/>
          <w:szCs w:val="32"/>
          <w:highlight w:val="none"/>
          <w:u w:val="none"/>
        </w:rPr>
        <w:t>缴入财政专户、实行专项管理的高中以上学费、住宿费、高校委托培养费、函大、电大、夜大及短训班培训费等教育收费。</w:t>
      </w:r>
    </w:p>
    <w:p w14:paraId="76777B4C">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四、单位资金：</w:t>
      </w:r>
      <w:r>
        <w:rPr>
          <w:rFonts w:hint="eastAsia" w:eastAsia="仿宋_GB2312" w:cstheme="minorBidi"/>
          <w:color w:val="auto"/>
          <w:sz w:val="32"/>
          <w:szCs w:val="32"/>
          <w:highlight w:val="none"/>
          <w:u w:val="none"/>
        </w:rPr>
        <w:t>除财政拨款收入和财政专户管理资金以外的收入，包括事业收入（不含教育收费）、上级补助收入、附属单位上缴收入、事业单位经营收入及其他收入（包含债务收入、投资收益等）。</w:t>
      </w:r>
    </w:p>
    <w:p w14:paraId="716B5F2B">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五、基本支出：</w:t>
      </w:r>
      <w:r>
        <w:rPr>
          <w:rFonts w:hint="eastAsia" w:eastAsia="仿宋_GB2312" w:cstheme="minorBidi"/>
          <w:color w:val="auto"/>
          <w:sz w:val="32"/>
          <w:szCs w:val="32"/>
          <w:highlight w:val="none"/>
          <w:u w:val="none"/>
        </w:rPr>
        <w:t>指为保障机构正常运转、完成工作任务而发生的人员支出和公用支出。</w:t>
      </w:r>
    </w:p>
    <w:p w14:paraId="4FA37828">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六、项目支出：</w:t>
      </w:r>
      <w:r>
        <w:rPr>
          <w:rFonts w:hint="eastAsia" w:eastAsia="仿宋_GB2312" w:cstheme="minorBidi"/>
          <w:color w:val="auto"/>
          <w:sz w:val="32"/>
          <w:szCs w:val="32"/>
          <w:highlight w:val="none"/>
          <w:u w:val="none"/>
        </w:rPr>
        <w:t>指在基本支出之外为完成特定工作任务和事业发展目标所发生的支出。</w:t>
      </w:r>
    </w:p>
    <w:p w14:paraId="3EA77E01">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七、对个人和家庭的补助：</w:t>
      </w:r>
      <w:r>
        <w:rPr>
          <w:rFonts w:hint="eastAsia" w:eastAsia="仿宋_GB2312" w:cstheme="minorBidi"/>
          <w:color w:val="auto"/>
          <w:sz w:val="32"/>
          <w:szCs w:val="32"/>
          <w:highlight w:val="none"/>
          <w:u w:val="none"/>
        </w:rPr>
        <w:t>是指政府用于对个人和家庭的补助支出。</w:t>
      </w:r>
    </w:p>
    <w:p w14:paraId="30632297">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八、“三公”经费：</w:t>
      </w:r>
      <w:r>
        <w:rPr>
          <w:rFonts w:hint="eastAsia" w:eastAsia="仿宋_GB2312" w:cstheme="minorBidi"/>
          <w:color w:val="auto"/>
          <w:sz w:val="32"/>
          <w:szCs w:val="32"/>
          <w:highlight w:val="none"/>
          <w:u w:val="none"/>
        </w:rPr>
        <w:t>指部门</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单位</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用一般公共预算财政拨款安排的因公出国（境）费、公务用车购置及运行维护费和公务接待费。其中，因公出国（境）费反映部门</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单位</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公务出国（境）的住宿费、旅费、伙食补助费、杂费、培训费等支出；公务用车购置及运行维护费反映部门</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单位</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公务用车购置费、燃料费、维修费、过路过桥费、保险费、安全奖励费用等支出；公务接待费反映部门</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单位</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按规定开支的各类公务接待（含外宾接待）支出。</w:t>
      </w:r>
    </w:p>
    <w:p w14:paraId="715BD52C">
      <w:pPr>
        <w:spacing w:line="600" w:lineRule="exact"/>
        <w:ind w:firstLine="643" w:firstLineChars="200"/>
        <w:rPr>
          <w:rFonts w:eastAsia="仿宋_GB2312" w:cstheme="minorBidi"/>
          <w:color w:val="auto"/>
          <w:sz w:val="32"/>
          <w:szCs w:val="32"/>
          <w:highlight w:val="none"/>
          <w:u w:val="none"/>
        </w:rPr>
      </w:pPr>
      <w:r>
        <w:rPr>
          <w:rFonts w:hint="eastAsia" w:eastAsia="仿宋_GB2312" w:cstheme="minorBidi"/>
          <w:b/>
          <w:bCs/>
          <w:color w:val="auto"/>
          <w:sz w:val="32"/>
          <w:szCs w:val="32"/>
          <w:highlight w:val="none"/>
          <w:u w:val="none"/>
        </w:rPr>
        <w:t>九、</w:t>
      </w:r>
      <w:r>
        <w:rPr>
          <w:rFonts w:hint="eastAsia" w:eastAsia="仿宋_GB2312" w:cstheme="minorBidi"/>
          <w:b/>
          <w:bCs/>
          <w:color w:val="auto"/>
          <w:sz w:val="32"/>
          <w:szCs w:val="32"/>
          <w:highlight w:val="none"/>
          <w:u w:val="none"/>
          <w:lang w:val="en-US" w:eastAsia="zh-CN"/>
        </w:rPr>
        <w:t>机构</w:t>
      </w:r>
      <w:r>
        <w:rPr>
          <w:rFonts w:hint="eastAsia" w:eastAsia="仿宋_GB2312" w:cstheme="minorBidi"/>
          <w:b/>
          <w:bCs/>
          <w:color w:val="auto"/>
          <w:sz w:val="32"/>
          <w:szCs w:val="32"/>
          <w:highlight w:val="none"/>
          <w:u w:val="none"/>
        </w:rPr>
        <w:t>运行经费：</w:t>
      </w:r>
      <w:r>
        <w:rPr>
          <w:rFonts w:hint="eastAsia" w:eastAsia="仿宋_GB2312" w:cstheme="minorBidi"/>
          <w:color w:val="auto"/>
          <w:sz w:val="32"/>
          <w:szCs w:val="32"/>
          <w:highlight w:val="none"/>
          <w:u w:val="none"/>
        </w:rPr>
        <w:t>指部门</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单位</w:t>
      </w:r>
      <w:r>
        <w:rPr>
          <w:rFonts w:hint="eastAsia" w:eastAsia="仿宋_GB2312" w:cstheme="minorBidi"/>
          <w:color w:val="auto"/>
          <w:sz w:val="32"/>
          <w:szCs w:val="32"/>
          <w:highlight w:val="none"/>
          <w:u w:val="none"/>
          <w:lang w:eastAsia="zh-CN"/>
        </w:rPr>
        <w:t>）</w:t>
      </w:r>
      <w:r>
        <w:rPr>
          <w:rFonts w:hint="eastAsia" w:eastAsia="仿宋_GB2312" w:cstheme="minorBidi"/>
          <w:color w:val="auto"/>
          <w:sz w:val="32"/>
          <w:szCs w:val="32"/>
          <w:highlight w:val="none"/>
          <w:u w:val="none"/>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2B8D7344">
      <w:pPr>
        <w:spacing w:line="600" w:lineRule="exact"/>
        <w:jc w:val="center"/>
        <w:rPr>
          <w:rFonts w:ascii="方正小标宋简体" w:hAnsi="方正小标宋简体" w:eastAsia="方正小标宋简体" w:cs="方正小标宋简体"/>
          <w:color w:val="auto"/>
          <w:sz w:val="36"/>
          <w:szCs w:val="36"/>
          <w:highlight w:val="none"/>
          <w:u w:val="none"/>
        </w:rPr>
      </w:pPr>
    </w:p>
    <w:p w14:paraId="0688AD8B">
      <w:pPr>
        <w:pStyle w:val="3"/>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color w:val="auto"/>
          <w:sz w:val="36"/>
          <w:szCs w:val="36"/>
          <w:highlight w:val="none"/>
          <w:u w:val="none"/>
        </w:rPr>
      </w:pPr>
      <w:bookmarkStart w:id="3" w:name="_Toc21331"/>
      <w:r>
        <w:rPr>
          <w:rFonts w:hint="eastAsia" w:ascii="方正小标宋简体" w:hAnsi="方正小标宋简体" w:eastAsia="方正小标宋简体" w:cs="方正小标宋简体"/>
          <w:b w:val="0"/>
          <w:bCs w:val="0"/>
          <w:color w:val="auto"/>
          <w:sz w:val="36"/>
          <w:szCs w:val="36"/>
          <w:highlight w:val="none"/>
          <w:u w:val="none"/>
        </w:rPr>
        <w:t>第四部分</w:t>
      </w:r>
      <w:r>
        <w:rPr>
          <w:rFonts w:hint="eastAsia" w:ascii="方正小标宋简体" w:hAnsi="方正小标宋简体" w:eastAsia="方正小标宋简体" w:cs="方正小标宋简体"/>
          <w:b w:val="0"/>
          <w:bCs w:val="0"/>
          <w:color w:val="auto"/>
          <w:sz w:val="36"/>
          <w:szCs w:val="36"/>
          <w:highlight w:val="none"/>
          <w:u w:val="none"/>
          <w:lang w:val="en-US" w:eastAsia="zh-CN"/>
        </w:rPr>
        <w:t xml:space="preserve">  </w:t>
      </w:r>
      <w:r>
        <w:rPr>
          <w:rFonts w:hint="eastAsia" w:ascii="方正小标宋简体" w:hAnsi="方正小标宋简体" w:eastAsia="方正小标宋简体" w:cs="方正小标宋简体"/>
          <w:b w:val="0"/>
          <w:bCs w:val="0"/>
          <w:color w:val="auto"/>
          <w:sz w:val="36"/>
          <w:szCs w:val="36"/>
          <w:highlight w:val="none"/>
          <w:u w:val="none"/>
        </w:rPr>
        <w:t>预算公开联系方式及信息反馈渠道</w:t>
      </w:r>
      <w:bookmarkEnd w:id="3"/>
    </w:p>
    <w:p w14:paraId="1F8E22E8">
      <w:pPr>
        <w:snapToGrid w:val="0"/>
        <w:spacing w:line="600" w:lineRule="exact"/>
        <w:rPr>
          <w:rFonts w:ascii="方正小标宋简体" w:hAnsi="方正小标宋简体" w:eastAsia="方正小标宋简体" w:cs="方正小标宋简体"/>
          <w:color w:val="auto"/>
          <w:sz w:val="36"/>
          <w:szCs w:val="36"/>
          <w:highlight w:val="none"/>
          <w:u w:val="none"/>
        </w:rPr>
      </w:pPr>
    </w:p>
    <w:p w14:paraId="2A9501FF">
      <w:pPr>
        <w:snapToGrid w:val="0"/>
        <w:spacing w:line="600" w:lineRule="exact"/>
        <w:ind w:firstLine="640" w:firstLineChars="200"/>
        <w:rPr>
          <w:rFonts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rPr>
        <w:t>本单位预算公开信息反馈和联系方式：</w:t>
      </w:r>
    </w:p>
    <w:p w14:paraId="22B1EEC4">
      <w:pPr>
        <w:snapToGrid w:val="0"/>
        <w:spacing w:line="600" w:lineRule="exact"/>
        <w:ind w:firstLine="640" w:firstLineChars="200"/>
        <w:rPr>
          <w:rFonts w:hint="default"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rPr>
        <w:t>联系人：</w:t>
      </w:r>
      <w:r>
        <w:rPr>
          <w:rFonts w:hint="eastAsia" w:ascii="仿宋_GB2312" w:hAnsi="仿宋_GB2312" w:eastAsia="仿宋_GB2312" w:cs="仿宋_GB2312"/>
          <w:color w:val="auto"/>
          <w:sz w:val="32"/>
          <w:szCs w:val="32"/>
          <w:highlight w:val="none"/>
          <w:u w:val="none"/>
          <w:lang w:val="en-US" w:eastAsia="zh-CN"/>
        </w:rPr>
        <w:t>吴皆明</w:t>
      </w:r>
      <w:r>
        <w:rPr>
          <w:rFonts w:hint="eastAsia" w:ascii="仿宋_GB2312" w:hAnsi="仿宋_GB2312" w:eastAsia="仿宋_GB2312" w:cs="仿宋_GB2312"/>
          <w:color w:val="auto"/>
          <w:sz w:val="32"/>
          <w:szCs w:val="32"/>
          <w:highlight w:val="none"/>
          <w:u w:val="none"/>
        </w:rPr>
        <w:t xml:space="preserve">           联系电话：</w:t>
      </w:r>
      <w:r>
        <w:rPr>
          <w:rFonts w:hint="eastAsia" w:ascii="仿宋_GB2312" w:hAnsi="仿宋_GB2312" w:eastAsia="仿宋_GB2312" w:cs="仿宋_GB2312"/>
          <w:color w:val="auto"/>
          <w:sz w:val="32"/>
          <w:szCs w:val="32"/>
          <w:highlight w:val="none"/>
          <w:u w:val="none"/>
          <w:lang w:val="en-US" w:eastAsia="zh-CN"/>
        </w:rPr>
        <w:t>0471-3451180</w:t>
      </w:r>
    </w:p>
    <w:p w14:paraId="3B13884C">
      <w:pPr>
        <w:snapToGrid w:val="0"/>
        <w:spacing w:line="600" w:lineRule="exact"/>
        <w:ind w:firstLine="640" w:firstLineChars="200"/>
        <w:rPr>
          <w:rFonts w:hint="default" w:ascii="仿宋_GB2312" w:hAnsi="仿宋_GB2312" w:eastAsia="仿宋_GB2312" w:cs="仿宋_GB2312"/>
          <w:color w:val="auto"/>
          <w:sz w:val="32"/>
          <w:szCs w:val="32"/>
          <w:highlight w:val="none"/>
          <w:u w:val="none"/>
          <w:lang w:val="en-US" w:eastAsia="zh-CN"/>
        </w:rPr>
        <w:sectPr>
          <w:headerReference r:id="rId3" w:type="default"/>
          <w:footerReference r:id="rId4" w:type="default"/>
          <w:pgSz w:w="11910" w:h="16840"/>
          <w:pgMar w:top="1580" w:right="1630" w:bottom="280" w:left="1240" w:header="720" w:footer="720" w:gutter="0"/>
          <w:pgNumType w:fmt="numberInDash"/>
          <w:cols w:space="720" w:num="1"/>
        </w:sectPr>
      </w:pPr>
      <w:r>
        <w:rPr>
          <w:rFonts w:hint="eastAsia" w:ascii="仿宋_GB2312" w:hAnsi="仿宋_GB2312" w:eastAsia="仿宋_GB2312" w:cs="仿宋_GB2312"/>
          <w:color w:val="auto"/>
          <w:sz w:val="32"/>
          <w:szCs w:val="32"/>
          <w:highlight w:val="none"/>
          <w:u w:val="none"/>
          <w:lang w:val="en-US" w:eastAsia="zh-CN"/>
        </w:rPr>
        <w:tab/>
      </w:r>
      <w:r>
        <w:rPr>
          <w:rFonts w:hint="eastAsia" w:ascii="仿宋_GB2312" w:hAnsi="仿宋_GB2312" w:eastAsia="仿宋_GB2312" w:cs="仿宋_GB2312"/>
          <w:color w:val="auto"/>
          <w:sz w:val="32"/>
          <w:szCs w:val="32"/>
          <w:highlight w:val="none"/>
          <w:u w:val="none"/>
          <w:lang w:val="en-US" w:eastAsia="zh-CN"/>
        </w:rPr>
        <w:t xml:space="preserve">       </w:t>
      </w:r>
    </w:p>
    <w:p w14:paraId="2AD712B0">
      <w:pPr>
        <w:pStyle w:val="18"/>
        <w:ind w:left="0" w:leftChars="0" w:firstLine="0"/>
        <w:rPr>
          <w:rFonts w:hint="default"/>
          <w:color w:val="auto"/>
          <w:highlight w:val="none"/>
          <w:u w:val="none"/>
        </w:rPr>
      </w:pPr>
    </w:p>
    <w:p w14:paraId="0F077BE0">
      <w:pPr>
        <w:bidi w:val="0"/>
        <w:rPr>
          <w:rFonts w:hint="default"/>
        </w:rPr>
      </w:pPr>
    </w:p>
    <w:p w14:paraId="28A27095">
      <w:pPr>
        <w:bidi w:val="0"/>
        <w:rPr>
          <w:rFonts w:hint="default"/>
        </w:rPr>
      </w:pPr>
    </w:p>
    <w:p w14:paraId="3350E26C">
      <w:pPr>
        <w:bidi w:val="0"/>
        <w:rPr>
          <w:rFonts w:hint="default"/>
        </w:rPr>
      </w:pPr>
    </w:p>
    <w:p w14:paraId="6F541CDB">
      <w:pPr>
        <w:bidi w:val="0"/>
        <w:rPr>
          <w:rFonts w:hint="default"/>
        </w:rPr>
      </w:pPr>
    </w:p>
    <w:p w14:paraId="1F5AB84C">
      <w:pPr>
        <w:bidi w:val="0"/>
        <w:rPr>
          <w:rFonts w:hint="default"/>
        </w:rPr>
      </w:pPr>
    </w:p>
    <w:p w14:paraId="67391920">
      <w:pPr>
        <w:bidi w:val="0"/>
        <w:rPr>
          <w:rFonts w:hint="default"/>
        </w:rPr>
      </w:pPr>
    </w:p>
    <w:p w14:paraId="41BA08E9">
      <w:pPr>
        <w:bidi w:val="0"/>
        <w:rPr>
          <w:rFonts w:hint="default"/>
        </w:rPr>
      </w:pPr>
    </w:p>
    <w:p w14:paraId="4533BEDC">
      <w:pPr>
        <w:bidi w:val="0"/>
        <w:rPr>
          <w:rFonts w:hint="default"/>
        </w:rPr>
      </w:pPr>
    </w:p>
    <w:p w14:paraId="50A75E06">
      <w:pPr>
        <w:bidi w:val="0"/>
        <w:rPr>
          <w:rFonts w:hint="default"/>
        </w:rPr>
      </w:pPr>
    </w:p>
    <w:p w14:paraId="1B97186A">
      <w:pPr>
        <w:bidi w:val="0"/>
        <w:rPr>
          <w:rFonts w:hint="default"/>
        </w:rPr>
      </w:pPr>
    </w:p>
    <w:p w14:paraId="4954B482">
      <w:pPr>
        <w:bidi w:val="0"/>
        <w:rPr>
          <w:rFonts w:hint="default"/>
        </w:rPr>
      </w:pPr>
    </w:p>
    <w:p w14:paraId="3BD41594">
      <w:pPr>
        <w:bidi w:val="0"/>
        <w:rPr>
          <w:rFonts w:hint="default"/>
        </w:rPr>
      </w:pPr>
    </w:p>
    <w:p w14:paraId="6FF50B45">
      <w:pPr>
        <w:bidi w:val="0"/>
        <w:rPr>
          <w:rFonts w:hint="default"/>
        </w:rPr>
      </w:pPr>
    </w:p>
    <w:p w14:paraId="425B1659">
      <w:pPr>
        <w:bidi w:val="0"/>
        <w:rPr>
          <w:rFonts w:hint="default"/>
        </w:rPr>
      </w:pPr>
    </w:p>
    <w:p w14:paraId="3C650BDB">
      <w:pPr>
        <w:bidi w:val="0"/>
        <w:rPr>
          <w:rFonts w:hint="default"/>
        </w:rPr>
      </w:pPr>
    </w:p>
    <w:p w14:paraId="0E994DBF">
      <w:pPr>
        <w:bidi w:val="0"/>
        <w:rPr>
          <w:rFonts w:hint="default"/>
        </w:rPr>
      </w:pPr>
    </w:p>
    <w:p w14:paraId="03384CA3">
      <w:pPr>
        <w:bidi w:val="0"/>
        <w:rPr>
          <w:rFonts w:hint="default"/>
        </w:rPr>
      </w:pPr>
    </w:p>
    <w:p w14:paraId="7034984E">
      <w:pPr>
        <w:bidi w:val="0"/>
        <w:rPr>
          <w:rFonts w:hint="default"/>
        </w:rPr>
      </w:pPr>
    </w:p>
    <w:p w14:paraId="7F981EB1">
      <w:pPr>
        <w:bidi w:val="0"/>
        <w:rPr>
          <w:rFonts w:hint="default"/>
        </w:rPr>
      </w:pPr>
    </w:p>
    <w:p w14:paraId="030D73EF">
      <w:pPr>
        <w:bidi w:val="0"/>
        <w:rPr>
          <w:rFonts w:hint="default"/>
        </w:rPr>
      </w:pPr>
    </w:p>
    <w:p w14:paraId="5F1B447B">
      <w:pPr>
        <w:bidi w:val="0"/>
        <w:rPr>
          <w:rFonts w:hint="default"/>
        </w:rPr>
      </w:pPr>
    </w:p>
    <w:p w14:paraId="72C43946">
      <w:pPr>
        <w:bidi w:val="0"/>
        <w:rPr>
          <w:rFonts w:hint="default"/>
        </w:rPr>
      </w:pPr>
    </w:p>
    <w:p w14:paraId="60EF0F3F">
      <w:pPr>
        <w:bidi w:val="0"/>
        <w:rPr>
          <w:rFonts w:hint="default"/>
        </w:rPr>
      </w:pPr>
    </w:p>
    <w:p w14:paraId="5C4363A6">
      <w:pPr>
        <w:bidi w:val="0"/>
        <w:rPr>
          <w:rFonts w:hint="default"/>
        </w:rPr>
      </w:pPr>
    </w:p>
    <w:p w14:paraId="69C52A47">
      <w:pPr>
        <w:bidi w:val="0"/>
        <w:rPr>
          <w:rFonts w:hint="default"/>
        </w:rPr>
      </w:pPr>
    </w:p>
    <w:p w14:paraId="18A53ADB">
      <w:pPr>
        <w:bidi w:val="0"/>
        <w:rPr>
          <w:rFonts w:hint="default"/>
        </w:rPr>
      </w:pPr>
    </w:p>
    <w:p w14:paraId="3098E681">
      <w:pPr>
        <w:bidi w:val="0"/>
        <w:rPr>
          <w:rFonts w:hint="default"/>
        </w:rPr>
      </w:pPr>
    </w:p>
    <w:p w14:paraId="19225D98">
      <w:pPr>
        <w:bidi w:val="0"/>
        <w:rPr>
          <w:rFonts w:hint="default"/>
        </w:rPr>
      </w:pPr>
    </w:p>
    <w:p w14:paraId="7AC2826A">
      <w:pPr>
        <w:bidi w:val="0"/>
        <w:rPr>
          <w:rFonts w:hint="default"/>
        </w:rPr>
      </w:pPr>
    </w:p>
    <w:p w14:paraId="3B2D665D">
      <w:pPr>
        <w:bidi w:val="0"/>
        <w:rPr>
          <w:rFonts w:hint="default"/>
        </w:rPr>
      </w:pPr>
    </w:p>
    <w:p w14:paraId="6E7A6F4A">
      <w:pPr>
        <w:bidi w:val="0"/>
        <w:rPr>
          <w:rFonts w:hint="default"/>
        </w:rPr>
      </w:pPr>
    </w:p>
    <w:p w14:paraId="0341A817">
      <w:pPr>
        <w:bidi w:val="0"/>
        <w:rPr>
          <w:rFonts w:hint="default"/>
        </w:rPr>
      </w:pPr>
    </w:p>
    <w:p w14:paraId="585F76FA">
      <w:pPr>
        <w:bidi w:val="0"/>
        <w:rPr>
          <w:rFonts w:hint="default"/>
        </w:rPr>
      </w:pPr>
    </w:p>
    <w:p w14:paraId="696D8D14">
      <w:pPr>
        <w:bidi w:val="0"/>
        <w:rPr>
          <w:rFonts w:hint="default"/>
        </w:rPr>
      </w:pPr>
    </w:p>
    <w:p w14:paraId="17CAE3F6">
      <w:pPr>
        <w:bidi w:val="0"/>
        <w:rPr>
          <w:rFonts w:hint="default"/>
        </w:rPr>
      </w:pPr>
    </w:p>
    <w:p w14:paraId="4BE7E98C">
      <w:pPr>
        <w:bidi w:val="0"/>
        <w:rPr>
          <w:rFonts w:hint="default"/>
        </w:rPr>
      </w:pPr>
    </w:p>
    <w:p w14:paraId="5B902D80">
      <w:pPr>
        <w:bidi w:val="0"/>
        <w:rPr>
          <w:rFonts w:hint="default"/>
        </w:rPr>
      </w:pPr>
    </w:p>
    <w:p w14:paraId="20403C7D">
      <w:pPr>
        <w:bidi w:val="0"/>
        <w:rPr>
          <w:rFonts w:hint="default"/>
        </w:rPr>
      </w:pPr>
    </w:p>
    <w:p w14:paraId="2647F8C4">
      <w:pPr>
        <w:bidi w:val="0"/>
        <w:rPr>
          <w:rFonts w:hint="default"/>
        </w:rPr>
      </w:pPr>
    </w:p>
    <w:p w14:paraId="5F3B07D5">
      <w:pPr>
        <w:bidi w:val="0"/>
        <w:rPr>
          <w:rFonts w:hint="default"/>
        </w:rPr>
      </w:pPr>
    </w:p>
    <w:p w14:paraId="38D07FE6">
      <w:pPr>
        <w:bidi w:val="0"/>
        <w:rPr>
          <w:rFonts w:hint="default"/>
        </w:rPr>
      </w:pPr>
    </w:p>
    <w:p w14:paraId="651948D7">
      <w:pPr>
        <w:bidi w:val="0"/>
        <w:rPr>
          <w:rFonts w:hint="default"/>
        </w:rPr>
      </w:pPr>
    </w:p>
    <w:p w14:paraId="0509960E">
      <w:pPr>
        <w:bidi w:val="0"/>
        <w:jc w:val="left"/>
        <w:rPr>
          <w:rFonts w:hint="default"/>
        </w:rPr>
      </w:pP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10311FE-A177-43DA-9904-3C816AE7144A}"/>
  </w:font>
  <w:font w:name="黑体">
    <w:panose1 w:val="02010609060101010101"/>
    <w:charset w:val="86"/>
    <w:family w:val="auto"/>
    <w:pitch w:val="default"/>
    <w:sig w:usb0="800002BF" w:usb1="38CF7CFA" w:usb2="00000016" w:usb3="00000000" w:csb0="00040001" w:csb1="00000000"/>
    <w:embedRegular r:id="rId2" w:fontKey="{28CFBC5E-B27F-4E08-B632-28F572416AE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3" w:fontKey="{3F4C59EB-8840-4F91-922E-FB5303A20453}"/>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4" w:fontKey="{F55E9AE8-3214-4732-A2B3-CF2A16B7CB87}"/>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Helv">
    <w:altName w:val="Segoe Print"/>
    <w:panose1 w:val="020B0604020202030204"/>
    <w:charset w:val="00"/>
    <w:family w:val="swiss"/>
    <w:pitch w:val="default"/>
    <w:sig w:usb0="00000000"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embedRegular r:id="rId5" w:fontKey="{DA3C0735-636B-49CD-A6B1-E4AD3175679C}"/>
  </w:font>
  <w:font w:name="仿宋">
    <w:panose1 w:val="02010609060101010101"/>
    <w:charset w:val="86"/>
    <w:family w:val="modern"/>
    <w:pitch w:val="default"/>
    <w:sig w:usb0="800002BF" w:usb1="38CF7CFA" w:usb2="00000016" w:usb3="00000000" w:csb0="00040001" w:csb1="00000000"/>
    <w:embedRegular r:id="rId6" w:fontKey="{29D7B48F-E13D-40DC-8870-05831946E17A}"/>
  </w:font>
  <w:font w:name="楷体">
    <w:panose1 w:val="02010609060101010101"/>
    <w:charset w:val="86"/>
    <w:family w:val="modern"/>
    <w:pitch w:val="default"/>
    <w:sig w:usb0="800002BF" w:usb1="38CF7CFA" w:usb2="00000016" w:usb3="00000000" w:csb0="00040001" w:csb1="00000000"/>
    <w:embedRegular r:id="rId7" w:fontKey="{2E9B7C73-C67F-402F-A1ED-4CC254919CF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7AE08">
    <w:pPr>
      <w:pStyle w:val="12"/>
      <w:jc w:val="center"/>
    </w:pPr>
    <w:r>
      <mc:AlternateContent>
        <mc:Choice Requires="wps">
          <w:drawing>
            <wp:anchor distT="0" distB="0" distL="114300" distR="114300" simplePos="0" relativeHeight="251662336"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B74D66">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62336;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14:paraId="66B74D66">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v:textbox>
            </v:shape>
          </w:pict>
        </mc:Fallback>
      </mc:AlternateContent>
    </w:r>
  </w:p>
  <w:p w14:paraId="59125AB2">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5CFE7">
    <w:pPr>
      <w:pStyle w:val="12"/>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795655" cy="3517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CA1652">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center;mso-position-horizontal-relative:margin;z-index:251661312;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HDpdn1AAAAAQBAAAPAAAAAAAAAAEAIAAAACIAAABkcnMvZG93bnJldi54bWxQSwEC&#10;FAAUAAAACACHTuJAyGZD2zECAABVBAAADgAAAAAAAAABACAAAAAjAQAAZHJzL2Uyb0RvYy54bWxQ&#10;SwUGAAAAAAYABgBZAQAAxgUAAAAA&#10;">
              <v:fill on="f" focussize="0,0"/>
              <v:stroke on="f" weight="0.5pt"/>
              <v:imagedata o:title=""/>
              <o:lock v:ext="edit" aspectratio="f"/>
              <v:textbox inset="0mm,0mm,0mm,0mm">
                <w:txbxContent>
                  <w:p w14:paraId="00CA1652">
                    <w:pPr>
                      <w:pStyle w:val="12"/>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v:textbox>
            </v:shape>
          </w:pict>
        </mc:Fallback>
      </mc:AlternateContent>
    </w:r>
  </w:p>
  <w:p w14:paraId="5010EF31">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6389D">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65B7C3"/>
    <w:multiLevelType w:val="singleLevel"/>
    <w:tmpl w:val="3265B7C3"/>
    <w:lvl w:ilvl="0" w:tentative="0">
      <w:start w:val="1"/>
      <w:numFmt w:val="chineseCounting"/>
      <w:suff w:val="nothing"/>
      <w:lvlText w:val="%1、"/>
      <w:lvlJc w:val="left"/>
      <w:rPr>
        <w:rFonts w:hint="eastAsia"/>
      </w:rPr>
    </w:lvl>
  </w:abstractNum>
  <w:abstractNum w:abstractNumId="1">
    <w:nsid w:val="35A38603"/>
    <w:multiLevelType w:val="singleLevel"/>
    <w:tmpl w:val="35A38603"/>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mNTI4Nzc5MDlhMDJlMGUxYmRlNjQ2ZTA5OGIzNTIifQ=="/>
    <w:docVar w:name="KSO_WPS_MARK_KEY" w:val="40b0d9d7-e02d-411a-97f3-944b7efe51bf"/>
  </w:docVars>
  <w:rsids>
    <w:rsidRoot w:val="00172A27"/>
    <w:rsid w:val="00000CBF"/>
    <w:rsid w:val="000034CD"/>
    <w:rsid w:val="00003B87"/>
    <w:rsid w:val="000106AF"/>
    <w:rsid w:val="00010F09"/>
    <w:rsid w:val="00010F57"/>
    <w:rsid w:val="00014729"/>
    <w:rsid w:val="000168E2"/>
    <w:rsid w:val="00016E30"/>
    <w:rsid w:val="0001778D"/>
    <w:rsid w:val="00023930"/>
    <w:rsid w:val="0002537D"/>
    <w:rsid w:val="000267C9"/>
    <w:rsid w:val="000316D6"/>
    <w:rsid w:val="00034C3D"/>
    <w:rsid w:val="00035935"/>
    <w:rsid w:val="00035BD9"/>
    <w:rsid w:val="00037650"/>
    <w:rsid w:val="000408B3"/>
    <w:rsid w:val="000409C6"/>
    <w:rsid w:val="00040A7B"/>
    <w:rsid w:val="0004437D"/>
    <w:rsid w:val="00044D5A"/>
    <w:rsid w:val="00047F92"/>
    <w:rsid w:val="000517C8"/>
    <w:rsid w:val="00052722"/>
    <w:rsid w:val="00052AB3"/>
    <w:rsid w:val="000530B5"/>
    <w:rsid w:val="000547DF"/>
    <w:rsid w:val="00056E21"/>
    <w:rsid w:val="00063642"/>
    <w:rsid w:val="00065474"/>
    <w:rsid w:val="00071596"/>
    <w:rsid w:val="00073EED"/>
    <w:rsid w:val="00080B1C"/>
    <w:rsid w:val="00082025"/>
    <w:rsid w:val="000843F5"/>
    <w:rsid w:val="00084B87"/>
    <w:rsid w:val="00084C61"/>
    <w:rsid w:val="00084EE5"/>
    <w:rsid w:val="00085C93"/>
    <w:rsid w:val="00087A5E"/>
    <w:rsid w:val="00090945"/>
    <w:rsid w:val="00094212"/>
    <w:rsid w:val="00094289"/>
    <w:rsid w:val="00094579"/>
    <w:rsid w:val="0009486F"/>
    <w:rsid w:val="00097AD5"/>
    <w:rsid w:val="00097E70"/>
    <w:rsid w:val="000A3463"/>
    <w:rsid w:val="000A3CBA"/>
    <w:rsid w:val="000B179A"/>
    <w:rsid w:val="000B19DD"/>
    <w:rsid w:val="000B271C"/>
    <w:rsid w:val="000B3090"/>
    <w:rsid w:val="000B395D"/>
    <w:rsid w:val="000B4C87"/>
    <w:rsid w:val="000B5E2F"/>
    <w:rsid w:val="000B75C9"/>
    <w:rsid w:val="000C2547"/>
    <w:rsid w:val="000C2657"/>
    <w:rsid w:val="000C3B4A"/>
    <w:rsid w:val="000C7570"/>
    <w:rsid w:val="000D1A18"/>
    <w:rsid w:val="000D4710"/>
    <w:rsid w:val="000E093A"/>
    <w:rsid w:val="000E597B"/>
    <w:rsid w:val="000E63BF"/>
    <w:rsid w:val="000F0BD4"/>
    <w:rsid w:val="000F344F"/>
    <w:rsid w:val="000F6C2D"/>
    <w:rsid w:val="000F7468"/>
    <w:rsid w:val="000F746A"/>
    <w:rsid w:val="00102140"/>
    <w:rsid w:val="00106E16"/>
    <w:rsid w:val="001114EC"/>
    <w:rsid w:val="00112A96"/>
    <w:rsid w:val="001133DF"/>
    <w:rsid w:val="00114F9E"/>
    <w:rsid w:val="001151B8"/>
    <w:rsid w:val="00122854"/>
    <w:rsid w:val="00122B22"/>
    <w:rsid w:val="00123EEA"/>
    <w:rsid w:val="00126508"/>
    <w:rsid w:val="001329DF"/>
    <w:rsid w:val="001342A7"/>
    <w:rsid w:val="00142E3E"/>
    <w:rsid w:val="001432CD"/>
    <w:rsid w:val="0014381D"/>
    <w:rsid w:val="0014464F"/>
    <w:rsid w:val="00152205"/>
    <w:rsid w:val="00153AFD"/>
    <w:rsid w:val="00155332"/>
    <w:rsid w:val="00155E13"/>
    <w:rsid w:val="00157214"/>
    <w:rsid w:val="001602D6"/>
    <w:rsid w:val="00163244"/>
    <w:rsid w:val="00163F67"/>
    <w:rsid w:val="00172A27"/>
    <w:rsid w:val="001735FD"/>
    <w:rsid w:val="001738CA"/>
    <w:rsid w:val="00175368"/>
    <w:rsid w:val="001802D6"/>
    <w:rsid w:val="00183BED"/>
    <w:rsid w:val="00191536"/>
    <w:rsid w:val="00193879"/>
    <w:rsid w:val="001940E1"/>
    <w:rsid w:val="00196BA0"/>
    <w:rsid w:val="0019719A"/>
    <w:rsid w:val="001A02B5"/>
    <w:rsid w:val="001A1BDF"/>
    <w:rsid w:val="001A2F89"/>
    <w:rsid w:val="001A3158"/>
    <w:rsid w:val="001A3CE2"/>
    <w:rsid w:val="001A5241"/>
    <w:rsid w:val="001B012D"/>
    <w:rsid w:val="001B0DDF"/>
    <w:rsid w:val="001B1449"/>
    <w:rsid w:val="001B3621"/>
    <w:rsid w:val="001B4457"/>
    <w:rsid w:val="001B5368"/>
    <w:rsid w:val="001B5886"/>
    <w:rsid w:val="001B5EC9"/>
    <w:rsid w:val="001B7FCD"/>
    <w:rsid w:val="001C0CDF"/>
    <w:rsid w:val="001C4010"/>
    <w:rsid w:val="001C6BF1"/>
    <w:rsid w:val="001D3C7E"/>
    <w:rsid w:val="001D6D0B"/>
    <w:rsid w:val="001D7958"/>
    <w:rsid w:val="001E0433"/>
    <w:rsid w:val="001E3429"/>
    <w:rsid w:val="001E68D8"/>
    <w:rsid w:val="001E76DB"/>
    <w:rsid w:val="001F4C1E"/>
    <w:rsid w:val="001F6B7A"/>
    <w:rsid w:val="00200204"/>
    <w:rsid w:val="002015D3"/>
    <w:rsid w:val="002039F1"/>
    <w:rsid w:val="002044DF"/>
    <w:rsid w:val="002049F7"/>
    <w:rsid w:val="0021312E"/>
    <w:rsid w:val="0021383F"/>
    <w:rsid w:val="00214BEE"/>
    <w:rsid w:val="0021585B"/>
    <w:rsid w:val="0021600A"/>
    <w:rsid w:val="0021726C"/>
    <w:rsid w:val="00217770"/>
    <w:rsid w:val="00220C2A"/>
    <w:rsid w:val="00221E65"/>
    <w:rsid w:val="002240B1"/>
    <w:rsid w:val="0022415F"/>
    <w:rsid w:val="00224835"/>
    <w:rsid w:val="00224F3D"/>
    <w:rsid w:val="00225C23"/>
    <w:rsid w:val="00233D9B"/>
    <w:rsid w:val="00236FA6"/>
    <w:rsid w:val="00240094"/>
    <w:rsid w:val="00241B6B"/>
    <w:rsid w:val="002431E6"/>
    <w:rsid w:val="0024416D"/>
    <w:rsid w:val="00244B90"/>
    <w:rsid w:val="00245FFD"/>
    <w:rsid w:val="0025052F"/>
    <w:rsid w:val="0025133B"/>
    <w:rsid w:val="002519F2"/>
    <w:rsid w:val="00251E52"/>
    <w:rsid w:val="00252024"/>
    <w:rsid w:val="00252295"/>
    <w:rsid w:val="002604EC"/>
    <w:rsid w:val="0026390E"/>
    <w:rsid w:val="00266811"/>
    <w:rsid w:val="002670EA"/>
    <w:rsid w:val="00270D49"/>
    <w:rsid w:val="002742F8"/>
    <w:rsid w:val="002748BD"/>
    <w:rsid w:val="00274A4D"/>
    <w:rsid w:val="00274E33"/>
    <w:rsid w:val="00286355"/>
    <w:rsid w:val="00286B1A"/>
    <w:rsid w:val="00287D92"/>
    <w:rsid w:val="00290958"/>
    <w:rsid w:val="00291FC4"/>
    <w:rsid w:val="002926AE"/>
    <w:rsid w:val="00293A42"/>
    <w:rsid w:val="00293F3B"/>
    <w:rsid w:val="00294D1F"/>
    <w:rsid w:val="002A25F0"/>
    <w:rsid w:val="002A38DC"/>
    <w:rsid w:val="002A3F94"/>
    <w:rsid w:val="002A4CC2"/>
    <w:rsid w:val="002B0E96"/>
    <w:rsid w:val="002B21CC"/>
    <w:rsid w:val="002B3658"/>
    <w:rsid w:val="002B37C5"/>
    <w:rsid w:val="002B7E88"/>
    <w:rsid w:val="002D028A"/>
    <w:rsid w:val="002D27EE"/>
    <w:rsid w:val="002D2D64"/>
    <w:rsid w:val="002D3180"/>
    <w:rsid w:val="002D4EA7"/>
    <w:rsid w:val="002D6124"/>
    <w:rsid w:val="002D6167"/>
    <w:rsid w:val="002D70B8"/>
    <w:rsid w:val="002D7791"/>
    <w:rsid w:val="002D7AEB"/>
    <w:rsid w:val="002D7FE5"/>
    <w:rsid w:val="002F0AEA"/>
    <w:rsid w:val="002F0CEB"/>
    <w:rsid w:val="002F1022"/>
    <w:rsid w:val="002F2712"/>
    <w:rsid w:val="002F73C2"/>
    <w:rsid w:val="002F7AA1"/>
    <w:rsid w:val="0030209D"/>
    <w:rsid w:val="00304A27"/>
    <w:rsid w:val="0030703E"/>
    <w:rsid w:val="00307477"/>
    <w:rsid w:val="003115CC"/>
    <w:rsid w:val="00313750"/>
    <w:rsid w:val="00316EA0"/>
    <w:rsid w:val="00321A3C"/>
    <w:rsid w:val="0033160F"/>
    <w:rsid w:val="00331DB0"/>
    <w:rsid w:val="003337F4"/>
    <w:rsid w:val="00335EEB"/>
    <w:rsid w:val="00337D32"/>
    <w:rsid w:val="003406D1"/>
    <w:rsid w:val="0034673B"/>
    <w:rsid w:val="00351751"/>
    <w:rsid w:val="00351CBC"/>
    <w:rsid w:val="00352172"/>
    <w:rsid w:val="00355342"/>
    <w:rsid w:val="00356692"/>
    <w:rsid w:val="00356F2E"/>
    <w:rsid w:val="003575C9"/>
    <w:rsid w:val="0036025D"/>
    <w:rsid w:val="00361339"/>
    <w:rsid w:val="003617B4"/>
    <w:rsid w:val="003631E0"/>
    <w:rsid w:val="003655C7"/>
    <w:rsid w:val="003666F6"/>
    <w:rsid w:val="00367F5C"/>
    <w:rsid w:val="00367FEB"/>
    <w:rsid w:val="00370C21"/>
    <w:rsid w:val="0037119D"/>
    <w:rsid w:val="00371460"/>
    <w:rsid w:val="00371E38"/>
    <w:rsid w:val="00374C99"/>
    <w:rsid w:val="00374EC2"/>
    <w:rsid w:val="00375717"/>
    <w:rsid w:val="00377F83"/>
    <w:rsid w:val="00385C9F"/>
    <w:rsid w:val="00385D9C"/>
    <w:rsid w:val="00386A78"/>
    <w:rsid w:val="00387B4F"/>
    <w:rsid w:val="00387FDC"/>
    <w:rsid w:val="003900E4"/>
    <w:rsid w:val="003908AD"/>
    <w:rsid w:val="003944BB"/>
    <w:rsid w:val="003945B5"/>
    <w:rsid w:val="00394D62"/>
    <w:rsid w:val="00395D0B"/>
    <w:rsid w:val="00397362"/>
    <w:rsid w:val="003A003A"/>
    <w:rsid w:val="003A1185"/>
    <w:rsid w:val="003A3E3C"/>
    <w:rsid w:val="003A3F4A"/>
    <w:rsid w:val="003A4972"/>
    <w:rsid w:val="003B4A14"/>
    <w:rsid w:val="003B5570"/>
    <w:rsid w:val="003B77B6"/>
    <w:rsid w:val="003C31AB"/>
    <w:rsid w:val="003C35CD"/>
    <w:rsid w:val="003C43EA"/>
    <w:rsid w:val="003C4F65"/>
    <w:rsid w:val="003C53D2"/>
    <w:rsid w:val="003C7866"/>
    <w:rsid w:val="003D0971"/>
    <w:rsid w:val="003D3C90"/>
    <w:rsid w:val="003D5CBF"/>
    <w:rsid w:val="003E02C3"/>
    <w:rsid w:val="003E18C9"/>
    <w:rsid w:val="003F567D"/>
    <w:rsid w:val="003F7782"/>
    <w:rsid w:val="00400588"/>
    <w:rsid w:val="00406AC9"/>
    <w:rsid w:val="0041073B"/>
    <w:rsid w:val="0041167C"/>
    <w:rsid w:val="004138A8"/>
    <w:rsid w:val="0041426C"/>
    <w:rsid w:val="00416FDF"/>
    <w:rsid w:val="00417B37"/>
    <w:rsid w:val="0042054B"/>
    <w:rsid w:val="00420D95"/>
    <w:rsid w:val="004253B8"/>
    <w:rsid w:val="00425ED7"/>
    <w:rsid w:val="00426740"/>
    <w:rsid w:val="00427C2F"/>
    <w:rsid w:val="0043128C"/>
    <w:rsid w:val="00434D44"/>
    <w:rsid w:val="0044228B"/>
    <w:rsid w:val="00442688"/>
    <w:rsid w:val="00442AED"/>
    <w:rsid w:val="00442D5D"/>
    <w:rsid w:val="00444B82"/>
    <w:rsid w:val="004459F0"/>
    <w:rsid w:val="00454633"/>
    <w:rsid w:val="00454737"/>
    <w:rsid w:val="00455BF8"/>
    <w:rsid w:val="00456DB3"/>
    <w:rsid w:val="00456EAD"/>
    <w:rsid w:val="004604FE"/>
    <w:rsid w:val="004611A8"/>
    <w:rsid w:val="00467117"/>
    <w:rsid w:val="00467D70"/>
    <w:rsid w:val="00467DC5"/>
    <w:rsid w:val="004702DB"/>
    <w:rsid w:val="00470C8E"/>
    <w:rsid w:val="00473D33"/>
    <w:rsid w:val="004769DB"/>
    <w:rsid w:val="00481EB5"/>
    <w:rsid w:val="00482B89"/>
    <w:rsid w:val="004833E7"/>
    <w:rsid w:val="00483401"/>
    <w:rsid w:val="00491B17"/>
    <w:rsid w:val="004931F8"/>
    <w:rsid w:val="00494023"/>
    <w:rsid w:val="004967F7"/>
    <w:rsid w:val="00497241"/>
    <w:rsid w:val="004A1F81"/>
    <w:rsid w:val="004A20B6"/>
    <w:rsid w:val="004A2789"/>
    <w:rsid w:val="004A2DF3"/>
    <w:rsid w:val="004A2FCA"/>
    <w:rsid w:val="004A3875"/>
    <w:rsid w:val="004A7AF4"/>
    <w:rsid w:val="004B048E"/>
    <w:rsid w:val="004B143B"/>
    <w:rsid w:val="004B174D"/>
    <w:rsid w:val="004B5933"/>
    <w:rsid w:val="004C500C"/>
    <w:rsid w:val="004C5FFC"/>
    <w:rsid w:val="004C74F7"/>
    <w:rsid w:val="004D1253"/>
    <w:rsid w:val="004D158E"/>
    <w:rsid w:val="004D2861"/>
    <w:rsid w:val="004D5666"/>
    <w:rsid w:val="004D6BB1"/>
    <w:rsid w:val="004D7A03"/>
    <w:rsid w:val="004D7DBF"/>
    <w:rsid w:val="004E0454"/>
    <w:rsid w:val="004E06ED"/>
    <w:rsid w:val="004E0863"/>
    <w:rsid w:val="004E1457"/>
    <w:rsid w:val="004E4A43"/>
    <w:rsid w:val="004E4BBF"/>
    <w:rsid w:val="004F2CDD"/>
    <w:rsid w:val="004F4D87"/>
    <w:rsid w:val="004F55CD"/>
    <w:rsid w:val="004F58A0"/>
    <w:rsid w:val="004F5F12"/>
    <w:rsid w:val="004F6692"/>
    <w:rsid w:val="004F77B0"/>
    <w:rsid w:val="00501EEF"/>
    <w:rsid w:val="00502A31"/>
    <w:rsid w:val="00505021"/>
    <w:rsid w:val="00506790"/>
    <w:rsid w:val="00510EFF"/>
    <w:rsid w:val="00511717"/>
    <w:rsid w:val="00511B53"/>
    <w:rsid w:val="005146EE"/>
    <w:rsid w:val="005160E3"/>
    <w:rsid w:val="005161E3"/>
    <w:rsid w:val="00516B40"/>
    <w:rsid w:val="005203F0"/>
    <w:rsid w:val="00521E09"/>
    <w:rsid w:val="00525EB0"/>
    <w:rsid w:val="00535551"/>
    <w:rsid w:val="0053664B"/>
    <w:rsid w:val="00540718"/>
    <w:rsid w:val="00540B71"/>
    <w:rsid w:val="00541F46"/>
    <w:rsid w:val="0054292B"/>
    <w:rsid w:val="005440BF"/>
    <w:rsid w:val="0054661A"/>
    <w:rsid w:val="005510D1"/>
    <w:rsid w:val="00552574"/>
    <w:rsid w:val="00554DCA"/>
    <w:rsid w:val="00556C59"/>
    <w:rsid w:val="00557E0E"/>
    <w:rsid w:val="005604D0"/>
    <w:rsid w:val="005614CC"/>
    <w:rsid w:val="005615F3"/>
    <w:rsid w:val="0056225D"/>
    <w:rsid w:val="00562E92"/>
    <w:rsid w:val="005639FA"/>
    <w:rsid w:val="0056420B"/>
    <w:rsid w:val="00564ABA"/>
    <w:rsid w:val="005653F5"/>
    <w:rsid w:val="00571BB6"/>
    <w:rsid w:val="00572A14"/>
    <w:rsid w:val="0057572A"/>
    <w:rsid w:val="00576A02"/>
    <w:rsid w:val="0058236D"/>
    <w:rsid w:val="00582BA2"/>
    <w:rsid w:val="00583D19"/>
    <w:rsid w:val="0058789A"/>
    <w:rsid w:val="00593F60"/>
    <w:rsid w:val="00594E72"/>
    <w:rsid w:val="00594E89"/>
    <w:rsid w:val="00595732"/>
    <w:rsid w:val="005957A8"/>
    <w:rsid w:val="005A0020"/>
    <w:rsid w:val="005A0592"/>
    <w:rsid w:val="005A09E0"/>
    <w:rsid w:val="005A1BC7"/>
    <w:rsid w:val="005A7383"/>
    <w:rsid w:val="005B155E"/>
    <w:rsid w:val="005B1651"/>
    <w:rsid w:val="005B1D05"/>
    <w:rsid w:val="005B544A"/>
    <w:rsid w:val="005B570B"/>
    <w:rsid w:val="005B5DBA"/>
    <w:rsid w:val="005B5ECD"/>
    <w:rsid w:val="005C5D3B"/>
    <w:rsid w:val="005C773C"/>
    <w:rsid w:val="005D2118"/>
    <w:rsid w:val="005D476C"/>
    <w:rsid w:val="005D5AEF"/>
    <w:rsid w:val="005E031D"/>
    <w:rsid w:val="005E2226"/>
    <w:rsid w:val="005F007E"/>
    <w:rsid w:val="005F22D5"/>
    <w:rsid w:val="005F2659"/>
    <w:rsid w:val="005F3198"/>
    <w:rsid w:val="005F5238"/>
    <w:rsid w:val="005F5B86"/>
    <w:rsid w:val="00603A8C"/>
    <w:rsid w:val="00607135"/>
    <w:rsid w:val="00610D76"/>
    <w:rsid w:val="0061425B"/>
    <w:rsid w:val="00615CCA"/>
    <w:rsid w:val="00616504"/>
    <w:rsid w:val="00616551"/>
    <w:rsid w:val="00617C3C"/>
    <w:rsid w:val="00623384"/>
    <w:rsid w:val="006236AD"/>
    <w:rsid w:val="0063195F"/>
    <w:rsid w:val="00632944"/>
    <w:rsid w:val="006355A9"/>
    <w:rsid w:val="00637A4F"/>
    <w:rsid w:val="00641CD5"/>
    <w:rsid w:val="00642BB6"/>
    <w:rsid w:val="00644031"/>
    <w:rsid w:val="00644FBC"/>
    <w:rsid w:val="00647134"/>
    <w:rsid w:val="00652DB9"/>
    <w:rsid w:val="0065703E"/>
    <w:rsid w:val="006575E7"/>
    <w:rsid w:val="00657673"/>
    <w:rsid w:val="00661E32"/>
    <w:rsid w:val="00662CCA"/>
    <w:rsid w:val="00662EC6"/>
    <w:rsid w:val="00662F26"/>
    <w:rsid w:val="00665B56"/>
    <w:rsid w:val="006720DF"/>
    <w:rsid w:val="00672743"/>
    <w:rsid w:val="00681E9C"/>
    <w:rsid w:val="00682B2E"/>
    <w:rsid w:val="00683341"/>
    <w:rsid w:val="006853C1"/>
    <w:rsid w:val="0068695A"/>
    <w:rsid w:val="00686C54"/>
    <w:rsid w:val="00687D34"/>
    <w:rsid w:val="00691B56"/>
    <w:rsid w:val="00691CC7"/>
    <w:rsid w:val="00691D88"/>
    <w:rsid w:val="00691EC8"/>
    <w:rsid w:val="00693C36"/>
    <w:rsid w:val="0069508B"/>
    <w:rsid w:val="00695904"/>
    <w:rsid w:val="006966EC"/>
    <w:rsid w:val="0069730F"/>
    <w:rsid w:val="00697930"/>
    <w:rsid w:val="006A0A1B"/>
    <w:rsid w:val="006A1B40"/>
    <w:rsid w:val="006A29F4"/>
    <w:rsid w:val="006A33FD"/>
    <w:rsid w:val="006A4D49"/>
    <w:rsid w:val="006A5098"/>
    <w:rsid w:val="006A623D"/>
    <w:rsid w:val="006B1149"/>
    <w:rsid w:val="006B1F4E"/>
    <w:rsid w:val="006B35D8"/>
    <w:rsid w:val="006B5EC7"/>
    <w:rsid w:val="006B6C41"/>
    <w:rsid w:val="006C0F17"/>
    <w:rsid w:val="006C3341"/>
    <w:rsid w:val="006C3359"/>
    <w:rsid w:val="006C4A23"/>
    <w:rsid w:val="006C5697"/>
    <w:rsid w:val="006C6FF2"/>
    <w:rsid w:val="006C79FA"/>
    <w:rsid w:val="006C7ECE"/>
    <w:rsid w:val="006D10E1"/>
    <w:rsid w:val="006D3BB4"/>
    <w:rsid w:val="006D4EAB"/>
    <w:rsid w:val="006F04BC"/>
    <w:rsid w:val="006F520F"/>
    <w:rsid w:val="00700A16"/>
    <w:rsid w:val="00701E0C"/>
    <w:rsid w:val="0070236E"/>
    <w:rsid w:val="00702E1F"/>
    <w:rsid w:val="00705D96"/>
    <w:rsid w:val="00706BD6"/>
    <w:rsid w:val="00710B15"/>
    <w:rsid w:val="00710DBC"/>
    <w:rsid w:val="00710F2F"/>
    <w:rsid w:val="00711981"/>
    <w:rsid w:val="00712513"/>
    <w:rsid w:val="00714FCB"/>
    <w:rsid w:val="00716714"/>
    <w:rsid w:val="00717855"/>
    <w:rsid w:val="007208BC"/>
    <w:rsid w:val="007223AD"/>
    <w:rsid w:val="0072313B"/>
    <w:rsid w:val="0073016A"/>
    <w:rsid w:val="007319CE"/>
    <w:rsid w:val="0073502E"/>
    <w:rsid w:val="00735453"/>
    <w:rsid w:val="0074153A"/>
    <w:rsid w:val="00741A58"/>
    <w:rsid w:val="007438FA"/>
    <w:rsid w:val="007444F9"/>
    <w:rsid w:val="00745662"/>
    <w:rsid w:val="00746BB0"/>
    <w:rsid w:val="007500F5"/>
    <w:rsid w:val="00751B12"/>
    <w:rsid w:val="007525B4"/>
    <w:rsid w:val="0075361E"/>
    <w:rsid w:val="00755B39"/>
    <w:rsid w:val="00756505"/>
    <w:rsid w:val="007602DD"/>
    <w:rsid w:val="00760CD7"/>
    <w:rsid w:val="0076688E"/>
    <w:rsid w:val="007720CC"/>
    <w:rsid w:val="0077226B"/>
    <w:rsid w:val="00773DB6"/>
    <w:rsid w:val="0077514A"/>
    <w:rsid w:val="00781279"/>
    <w:rsid w:val="00783AFE"/>
    <w:rsid w:val="007904FF"/>
    <w:rsid w:val="007925EB"/>
    <w:rsid w:val="00796798"/>
    <w:rsid w:val="00797B28"/>
    <w:rsid w:val="007A038A"/>
    <w:rsid w:val="007A1E1B"/>
    <w:rsid w:val="007A23C5"/>
    <w:rsid w:val="007A3D48"/>
    <w:rsid w:val="007A5961"/>
    <w:rsid w:val="007A62AF"/>
    <w:rsid w:val="007A6303"/>
    <w:rsid w:val="007A73B9"/>
    <w:rsid w:val="007B0811"/>
    <w:rsid w:val="007B12CC"/>
    <w:rsid w:val="007B31EB"/>
    <w:rsid w:val="007B425E"/>
    <w:rsid w:val="007C1D53"/>
    <w:rsid w:val="007C22F2"/>
    <w:rsid w:val="007C4FA1"/>
    <w:rsid w:val="007D2F2B"/>
    <w:rsid w:val="007D48A4"/>
    <w:rsid w:val="007D719A"/>
    <w:rsid w:val="007E11AF"/>
    <w:rsid w:val="007E36AC"/>
    <w:rsid w:val="007E4B97"/>
    <w:rsid w:val="007E5353"/>
    <w:rsid w:val="007E55B7"/>
    <w:rsid w:val="007E6392"/>
    <w:rsid w:val="007F42D9"/>
    <w:rsid w:val="007F5799"/>
    <w:rsid w:val="007F5BF8"/>
    <w:rsid w:val="007F7B66"/>
    <w:rsid w:val="00801DE2"/>
    <w:rsid w:val="00802AAD"/>
    <w:rsid w:val="008038C9"/>
    <w:rsid w:val="0080646E"/>
    <w:rsid w:val="00806C2A"/>
    <w:rsid w:val="008077DA"/>
    <w:rsid w:val="008153A1"/>
    <w:rsid w:val="00825BFE"/>
    <w:rsid w:val="00825C8F"/>
    <w:rsid w:val="00826B5E"/>
    <w:rsid w:val="00831380"/>
    <w:rsid w:val="00831843"/>
    <w:rsid w:val="00832D6F"/>
    <w:rsid w:val="008330BB"/>
    <w:rsid w:val="00833CAD"/>
    <w:rsid w:val="008406FC"/>
    <w:rsid w:val="00840AA3"/>
    <w:rsid w:val="008410E6"/>
    <w:rsid w:val="00841318"/>
    <w:rsid w:val="00841E77"/>
    <w:rsid w:val="008421E5"/>
    <w:rsid w:val="00845E45"/>
    <w:rsid w:val="008512E3"/>
    <w:rsid w:val="00851C1E"/>
    <w:rsid w:val="00853166"/>
    <w:rsid w:val="008545A3"/>
    <w:rsid w:val="00856CD9"/>
    <w:rsid w:val="00862F0E"/>
    <w:rsid w:val="00863E6B"/>
    <w:rsid w:val="008655F8"/>
    <w:rsid w:val="00867DAD"/>
    <w:rsid w:val="00867EAE"/>
    <w:rsid w:val="00870A99"/>
    <w:rsid w:val="00871458"/>
    <w:rsid w:val="00872CB6"/>
    <w:rsid w:val="00874F21"/>
    <w:rsid w:val="00882D02"/>
    <w:rsid w:val="00883213"/>
    <w:rsid w:val="00884A1B"/>
    <w:rsid w:val="008923A4"/>
    <w:rsid w:val="008927E0"/>
    <w:rsid w:val="00893556"/>
    <w:rsid w:val="00893B88"/>
    <w:rsid w:val="008953C4"/>
    <w:rsid w:val="008A02F3"/>
    <w:rsid w:val="008A4193"/>
    <w:rsid w:val="008A4440"/>
    <w:rsid w:val="008A58B3"/>
    <w:rsid w:val="008B024E"/>
    <w:rsid w:val="008B14E4"/>
    <w:rsid w:val="008B2C45"/>
    <w:rsid w:val="008B4190"/>
    <w:rsid w:val="008C0361"/>
    <w:rsid w:val="008C2670"/>
    <w:rsid w:val="008C6831"/>
    <w:rsid w:val="008C736D"/>
    <w:rsid w:val="008D30DD"/>
    <w:rsid w:val="008D35B6"/>
    <w:rsid w:val="008D5D5A"/>
    <w:rsid w:val="008D63C9"/>
    <w:rsid w:val="008D77B0"/>
    <w:rsid w:val="008E06A1"/>
    <w:rsid w:val="008E1673"/>
    <w:rsid w:val="008E6D68"/>
    <w:rsid w:val="008F4555"/>
    <w:rsid w:val="00900431"/>
    <w:rsid w:val="00902193"/>
    <w:rsid w:val="0090328C"/>
    <w:rsid w:val="00910123"/>
    <w:rsid w:val="00912961"/>
    <w:rsid w:val="00913386"/>
    <w:rsid w:val="00913F71"/>
    <w:rsid w:val="00914563"/>
    <w:rsid w:val="00916D35"/>
    <w:rsid w:val="00921822"/>
    <w:rsid w:val="00921960"/>
    <w:rsid w:val="0092196F"/>
    <w:rsid w:val="00923F6C"/>
    <w:rsid w:val="00925D28"/>
    <w:rsid w:val="00927B48"/>
    <w:rsid w:val="00930024"/>
    <w:rsid w:val="00931166"/>
    <w:rsid w:val="0093340A"/>
    <w:rsid w:val="00933955"/>
    <w:rsid w:val="00935A11"/>
    <w:rsid w:val="00936518"/>
    <w:rsid w:val="00937032"/>
    <w:rsid w:val="00937C98"/>
    <w:rsid w:val="0094258F"/>
    <w:rsid w:val="0094661D"/>
    <w:rsid w:val="0095122D"/>
    <w:rsid w:val="00952194"/>
    <w:rsid w:val="00955087"/>
    <w:rsid w:val="0095730F"/>
    <w:rsid w:val="0096060D"/>
    <w:rsid w:val="00961C95"/>
    <w:rsid w:val="00962A5F"/>
    <w:rsid w:val="00963B0B"/>
    <w:rsid w:val="0096467C"/>
    <w:rsid w:val="00965969"/>
    <w:rsid w:val="00965DB7"/>
    <w:rsid w:val="009667C2"/>
    <w:rsid w:val="00967F39"/>
    <w:rsid w:val="00970038"/>
    <w:rsid w:val="00971D84"/>
    <w:rsid w:val="0097237D"/>
    <w:rsid w:val="009740A2"/>
    <w:rsid w:val="00976F17"/>
    <w:rsid w:val="00981972"/>
    <w:rsid w:val="0098245F"/>
    <w:rsid w:val="009855CA"/>
    <w:rsid w:val="00990F07"/>
    <w:rsid w:val="009932D0"/>
    <w:rsid w:val="00996DA3"/>
    <w:rsid w:val="009B0A61"/>
    <w:rsid w:val="009B109A"/>
    <w:rsid w:val="009B4531"/>
    <w:rsid w:val="009B5F75"/>
    <w:rsid w:val="009B6519"/>
    <w:rsid w:val="009B6C65"/>
    <w:rsid w:val="009B7836"/>
    <w:rsid w:val="009C164A"/>
    <w:rsid w:val="009D0A18"/>
    <w:rsid w:val="009D17E4"/>
    <w:rsid w:val="009D5A93"/>
    <w:rsid w:val="009D5BA5"/>
    <w:rsid w:val="009D64E2"/>
    <w:rsid w:val="009D6BF5"/>
    <w:rsid w:val="009E0276"/>
    <w:rsid w:val="009E25B6"/>
    <w:rsid w:val="009E2A29"/>
    <w:rsid w:val="009E5F33"/>
    <w:rsid w:val="009E6791"/>
    <w:rsid w:val="009E7510"/>
    <w:rsid w:val="009F02C1"/>
    <w:rsid w:val="009F0BD2"/>
    <w:rsid w:val="009F1452"/>
    <w:rsid w:val="009F1BF8"/>
    <w:rsid w:val="009F1C9C"/>
    <w:rsid w:val="009F250C"/>
    <w:rsid w:val="009F275E"/>
    <w:rsid w:val="009F434C"/>
    <w:rsid w:val="009F7D34"/>
    <w:rsid w:val="00A00E7B"/>
    <w:rsid w:val="00A02520"/>
    <w:rsid w:val="00A02BAA"/>
    <w:rsid w:val="00A107BD"/>
    <w:rsid w:val="00A10D56"/>
    <w:rsid w:val="00A1218E"/>
    <w:rsid w:val="00A12C39"/>
    <w:rsid w:val="00A13A13"/>
    <w:rsid w:val="00A15326"/>
    <w:rsid w:val="00A16CEC"/>
    <w:rsid w:val="00A26C91"/>
    <w:rsid w:val="00A26E9C"/>
    <w:rsid w:val="00A318E2"/>
    <w:rsid w:val="00A33F58"/>
    <w:rsid w:val="00A36055"/>
    <w:rsid w:val="00A40BC8"/>
    <w:rsid w:val="00A4369D"/>
    <w:rsid w:val="00A43B19"/>
    <w:rsid w:val="00A4472E"/>
    <w:rsid w:val="00A46D31"/>
    <w:rsid w:val="00A47EA4"/>
    <w:rsid w:val="00A503E5"/>
    <w:rsid w:val="00A509FD"/>
    <w:rsid w:val="00A53F03"/>
    <w:rsid w:val="00A53FF0"/>
    <w:rsid w:val="00A54456"/>
    <w:rsid w:val="00A5471E"/>
    <w:rsid w:val="00A551D7"/>
    <w:rsid w:val="00A55B27"/>
    <w:rsid w:val="00A55BDA"/>
    <w:rsid w:val="00A60C43"/>
    <w:rsid w:val="00A64596"/>
    <w:rsid w:val="00A67BE2"/>
    <w:rsid w:val="00A74820"/>
    <w:rsid w:val="00A74949"/>
    <w:rsid w:val="00A76E41"/>
    <w:rsid w:val="00A776BC"/>
    <w:rsid w:val="00A8105F"/>
    <w:rsid w:val="00A81465"/>
    <w:rsid w:val="00A833A7"/>
    <w:rsid w:val="00A86AB0"/>
    <w:rsid w:val="00A87262"/>
    <w:rsid w:val="00A90F79"/>
    <w:rsid w:val="00A93929"/>
    <w:rsid w:val="00A9509B"/>
    <w:rsid w:val="00A963E4"/>
    <w:rsid w:val="00A97C90"/>
    <w:rsid w:val="00AA15A6"/>
    <w:rsid w:val="00AA182F"/>
    <w:rsid w:val="00AA3F58"/>
    <w:rsid w:val="00AA4870"/>
    <w:rsid w:val="00AA6B5D"/>
    <w:rsid w:val="00AB1D83"/>
    <w:rsid w:val="00AB5668"/>
    <w:rsid w:val="00AB587E"/>
    <w:rsid w:val="00AB6697"/>
    <w:rsid w:val="00AC0CA3"/>
    <w:rsid w:val="00AC24D8"/>
    <w:rsid w:val="00AC2F0E"/>
    <w:rsid w:val="00AC6B22"/>
    <w:rsid w:val="00AD13AD"/>
    <w:rsid w:val="00AE08D3"/>
    <w:rsid w:val="00AE225B"/>
    <w:rsid w:val="00AE46A4"/>
    <w:rsid w:val="00AE535D"/>
    <w:rsid w:val="00AE69CE"/>
    <w:rsid w:val="00AF08E9"/>
    <w:rsid w:val="00AF0B26"/>
    <w:rsid w:val="00AF2165"/>
    <w:rsid w:val="00AF6826"/>
    <w:rsid w:val="00B00877"/>
    <w:rsid w:val="00B02697"/>
    <w:rsid w:val="00B0719C"/>
    <w:rsid w:val="00B14CC8"/>
    <w:rsid w:val="00B17240"/>
    <w:rsid w:val="00B234C1"/>
    <w:rsid w:val="00B248CE"/>
    <w:rsid w:val="00B24E37"/>
    <w:rsid w:val="00B25020"/>
    <w:rsid w:val="00B256C8"/>
    <w:rsid w:val="00B256F6"/>
    <w:rsid w:val="00B272EE"/>
    <w:rsid w:val="00B302A1"/>
    <w:rsid w:val="00B31FCC"/>
    <w:rsid w:val="00B3557A"/>
    <w:rsid w:val="00B3740D"/>
    <w:rsid w:val="00B3776F"/>
    <w:rsid w:val="00B418AB"/>
    <w:rsid w:val="00B41ACE"/>
    <w:rsid w:val="00B4291F"/>
    <w:rsid w:val="00B42B7C"/>
    <w:rsid w:val="00B42F55"/>
    <w:rsid w:val="00B46CA3"/>
    <w:rsid w:val="00B5591E"/>
    <w:rsid w:val="00B565C7"/>
    <w:rsid w:val="00B56F47"/>
    <w:rsid w:val="00B608C5"/>
    <w:rsid w:val="00B61CEF"/>
    <w:rsid w:val="00B657D7"/>
    <w:rsid w:val="00B659E9"/>
    <w:rsid w:val="00B677D1"/>
    <w:rsid w:val="00B7130A"/>
    <w:rsid w:val="00B71CA8"/>
    <w:rsid w:val="00B753C1"/>
    <w:rsid w:val="00B82CCF"/>
    <w:rsid w:val="00B83052"/>
    <w:rsid w:val="00B8677C"/>
    <w:rsid w:val="00B90FC3"/>
    <w:rsid w:val="00B92387"/>
    <w:rsid w:val="00B9395A"/>
    <w:rsid w:val="00B93A38"/>
    <w:rsid w:val="00B95280"/>
    <w:rsid w:val="00B9638C"/>
    <w:rsid w:val="00BA5133"/>
    <w:rsid w:val="00BA5885"/>
    <w:rsid w:val="00BA59F6"/>
    <w:rsid w:val="00BA6774"/>
    <w:rsid w:val="00BB0763"/>
    <w:rsid w:val="00BB0E01"/>
    <w:rsid w:val="00BB1CB2"/>
    <w:rsid w:val="00BB21F1"/>
    <w:rsid w:val="00BB4264"/>
    <w:rsid w:val="00BB4B2D"/>
    <w:rsid w:val="00BB6099"/>
    <w:rsid w:val="00BB6BDE"/>
    <w:rsid w:val="00BB702A"/>
    <w:rsid w:val="00BC0FBE"/>
    <w:rsid w:val="00BC1D98"/>
    <w:rsid w:val="00BC3F50"/>
    <w:rsid w:val="00BD324F"/>
    <w:rsid w:val="00BD3603"/>
    <w:rsid w:val="00BD702A"/>
    <w:rsid w:val="00BE0161"/>
    <w:rsid w:val="00BE1766"/>
    <w:rsid w:val="00BE3275"/>
    <w:rsid w:val="00BE36C6"/>
    <w:rsid w:val="00BE5F84"/>
    <w:rsid w:val="00BF0DFB"/>
    <w:rsid w:val="00BF14CF"/>
    <w:rsid w:val="00BF48F2"/>
    <w:rsid w:val="00BF648F"/>
    <w:rsid w:val="00C00A12"/>
    <w:rsid w:val="00C01354"/>
    <w:rsid w:val="00C02E08"/>
    <w:rsid w:val="00C04FEC"/>
    <w:rsid w:val="00C05052"/>
    <w:rsid w:val="00C0544C"/>
    <w:rsid w:val="00C064AA"/>
    <w:rsid w:val="00C10643"/>
    <w:rsid w:val="00C15609"/>
    <w:rsid w:val="00C16EAB"/>
    <w:rsid w:val="00C23757"/>
    <w:rsid w:val="00C2432E"/>
    <w:rsid w:val="00C25332"/>
    <w:rsid w:val="00C25933"/>
    <w:rsid w:val="00C27C2B"/>
    <w:rsid w:val="00C32F04"/>
    <w:rsid w:val="00C3318C"/>
    <w:rsid w:val="00C34F6D"/>
    <w:rsid w:val="00C3720A"/>
    <w:rsid w:val="00C41DCA"/>
    <w:rsid w:val="00C45720"/>
    <w:rsid w:val="00C51934"/>
    <w:rsid w:val="00C549B2"/>
    <w:rsid w:val="00C55715"/>
    <w:rsid w:val="00C56FA8"/>
    <w:rsid w:val="00C61C00"/>
    <w:rsid w:val="00C62802"/>
    <w:rsid w:val="00C6346F"/>
    <w:rsid w:val="00C6664C"/>
    <w:rsid w:val="00C73DB2"/>
    <w:rsid w:val="00C75067"/>
    <w:rsid w:val="00C802CF"/>
    <w:rsid w:val="00C830BD"/>
    <w:rsid w:val="00C84E19"/>
    <w:rsid w:val="00C85194"/>
    <w:rsid w:val="00C95F53"/>
    <w:rsid w:val="00C97F3E"/>
    <w:rsid w:val="00CA00FB"/>
    <w:rsid w:val="00CA0715"/>
    <w:rsid w:val="00CA11BC"/>
    <w:rsid w:val="00CA1CD2"/>
    <w:rsid w:val="00CA39D0"/>
    <w:rsid w:val="00CA48E6"/>
    <w:rsid w:val="00CA4E7E"/>
    <w:rsid w:val="00CA67C6"/>
    <w:rsid w:val="00CB14B8"/>
    <w:rsid w:val="00CB262F"/>
    <w:rsid w:val="00CB39DC"/>
    <w:rsid w:val="00CB4939"/>
    <w:rsid w:val="00CB5977"/>
    <w:rsid w:val="00CB5E07"/>
    <w:rsid w:val="00CB5FDB"/>
    <w:rsid w:val="00CC36CA"/>
    <w:rsid w:val="00CC6EF3"/>
    <w:rsid w:val="00CC7A2E"/>
    <w:rsid w:val="00CC7AEB"/>
    <w:rsid w:val="00CD27CB"/>
    <w:rsid w:val="00CD478B"/>
    <w:rsid w:val="00CD6BE5"/>
    <w:rsid w:val="00CD77F5"/>
    <w:rsid w:val="00CD7CD7"/>
    <w:rsid w:val="00CD7DD7"/>
    <w:rsid w:val="00CE0245"/>
    <w:rsid w:val="00CE47BF"/>
    <w:rsid w:val="00CE76D0"/>
    <w:rsid w:val="00CF43D3"/>
    <w:rsid w:val="00CF4997"/>
    <w:rsid w:val="00CF7256"/>
    <w:rsid w:val="00CF75BB"/>
    <w:rsid w:val="00D03579"/>
    <w:rsid w:val="00D04FCE"/>
    <w:rsid w:val="00D11D9E"/>
    <w:rsid w:val="00D13247"/>
    <w:rsid w:val="00D1341B"/>
    <w:rsid w:val="00D13E31"/>
    <w:rsid w:val="00D16614"/>
    <w:rsid w:val="00D2127E"/>
    <w:rsid w:val="00D228D1"/>
    <w:rsid w:val="00D22DFA"/>
    <w:rsid w:val="00D24B8C"/>
    <w:rsid w:val="00D26AA8"/>
    <w:rsid w:val="00D27019"/>
    <w:rsid w:val="00D315DA"/>
    <w:rsid w:val="00D3317F"/>
    <w:rsid w:val="00D360BE"/>
    <w:rsid w:val="00D40BC5"/>
    <w:rsid w:val="00D40F06"/>
    <w:rsid w:val="00D44057"/>
    <w:rsid w:val="00D44B67"/>
    <w:rsid w:val="00D44E81"/>
    <w:rsid w:val="00D4599E"/>
    <w:rsid w:val="00D47576"/>
    <w:rsid w:val="00D479E8"/>
    <w:rsid w:val="00D542F2"/>
    <w:rsid w:val="00D5493C"/>
    <w:rsid w:val="00D56F9B"/>
    <w:rsid w:val="00D61162"/>
    <w:rsid w:val="00D61BD1"/>
    <w:rsid w:val="00D631BE"/>
    <w:rsid w:val="00D635C4"/>
    <w:rsid w:val="00D65D0C"/>
    <w:rsid w:val="00D66AE2"/>
    <w:rsid w:val="00D66B0F"/>
    <w:rsid w:val="00D671EA"/>
    <w:rsid w:val="00D72C3B"/>
    <w:rsid w:val="00D74180"/>
    <w:rsid w:val="00D744B4"/>
    <w:rsid w:val="00D7549F"/>
    <w:rsid w:val="00D77416"/>
    <w:rsid w:val="00D774D4"/>
    <w:rsid w:val="00D7757D"/>
    <w:rsid w:val="00D8023F"/>
    <w:rsid w:val="00D80950"/>
    <w:rsid w:val="00D8348B"/>
    <w:rsid w:val="00D868F2"/>
    <w:rsid w:val="00D86FDE"/>
    <w:rsid w:val="00D8757C"/>
    <w:rsid w:val="00D908D3"/>
    <w:rsid w:val="00D90C19"/>
    <w:rsid w:val="00D91C36"/>
    <w:rsid w:val="00D94AE6"/>
    <w:rsid w:val="00D94BB9"/>
    <w:rsid w:val="00D95048"/>
    <w:rsid w:val="00DA1AE4"/>
    <w:rsid w:val="00DA283C"/>
    <w:rsid w:val="00DA437B"/>
    <w:rsid w:val="00DA78D7"/>
    <w:rsid w:val="00DB0831"/>
    <w:rsid w:val="00DB1859"/>
    <w:rsid w:val="00DB1D37"/>
    <w:rsid w:val="00DB3A56"/>
    <w:rsid w:val="00DB6FE7"/>
    <w:rsid w:val="00DC1D00"/>
    <w:rsid w:val="00DC2A9F"/>
    <w:rsid w:val="00DC552D"/>
    <w:rsid w:val="00DC7B47"/>
    <w:rsid w:val="00DC7C1D"/>
    <w:rsid w:val="00DD1A5C"/>
    <w:rsid w:val="00DD1F41"/>
    <w:rsid w:val="00DD34E5"/>
    <w:rsid w:val="00DD3639"/>
    <w:rsid w:val="00DD4360"/>
    <w:rsid w:val="00DD6DD7"/>
    <w:rsid w:val="00DD6FD2"/>
    <w:rsid w:val="00DE1373"/>
    <w:rsid w:val="00DE21B5"/>
    <w:rsid w:val="00DE2EF0"/>
    <w:rsid w:val="00DE5A74"/>
    <w:rsid w:val="00DF0EBB"/>
    <w:rsid w:val="00DF22C3"/>
    <w:rsid w:val="00DF298C"/>
    <w:rsid w:val="00DF40A0"/>
    <w:rsid w:val="00DF4135"/>
    <w:rsid w:val="00DF5A45"/>
    <w:rsid w:val="00DF6369"/>
    <w:rsid w:val="00DF693A"/>
    <w:rsid w:val="00E0259E"/>
    <w:rsid w:val="00E0287C"/>
    <w:rsid w:val="00E0318A"/>
    <w:rsid w:val="00E04CC3"/>
    <w:rsid w:val="00E1000C"/>
    <w:rsid w:val="00E10BFF"/>
    <w:rsid w:val="00E1186D"/>
    <w:rsid w:val="00E1484A"/>
    <w:rsid w:val="00E152C9"/>
    <w:rsid w:val="00E2020D"/>
    <w:rsid w:val="00E21A06"/>
    <w:rsid w:val="00E2576F"/>
    <w:rsid w:val="00E30197"/>
    <w:rsid w:val="00E30704"/>
    <w:rsid w:val="00E30B21"/>
    <w:rsid w:val="00E344E1"/>
    <w:rsid w:val="00E34784"/>
    <w:rsid w:val="00E42B97"/>
    <w:rsid w:val="00E46AF8"/>
    <w:rsid w:val="00E5409A"/>
    <w:rsid w:val="00E5458F"/>
    <w:rsid w:val="00E61333"/>
    <w:rsid w:val="00E6159D"/>
    <w:rsid w:val="00E62805"/>
    <w:rsid w:val="00E67AB7"/>
    <w:rsid w:val="00E743FC"/>
    <w:rsid w:val="00E760DC"/>
    <w:rsid w:val="00E772BA"/>
    <w:rsid w:val="00E80BCE"/>
    <w:rsid w:val="00E80EFF"/>
    <w:rsid w:val="00E81CF1"/>
    <w:rsid w:val="00E82532"/>
    <w:rsid w:val="00E855FA"/>
    <w:rsid w:val="00E85BD7"/>
    <w:rsid w:val="00E85F4F"/>
    <w:rsid w:val="00E87612"/>
    <w:rsid w:val="00E905AE"/>
    <w:rsid w:val="00E92ACD"/>
    <w:rsid w:val="00E974A2"/>
    <w:rsid w:val="00EA0415"/>
    <w:rsid w:val="00EA5AB5"/>
    <w:rsid w:val="00EA5D6A"/>
    <w:rsid w:val="00EA6950"/>
    <w:rsid w:val="00EB57E9"/>
    <w:rsid w:val="00EC05E9"/>
    <w:rsid w:val="00EC2A61"/>
    <w:rsid w:val="00EC2D7F"/>
    <w:rsid w:val="00EC614F"/>
    <w:rsid w:val="00EC6556"/>
    <w:rsid w:val="00ED1FD7"/>
    <w:rsid w:val="00ED3275"/>
    <w:rsid w:val="00ED3A25"/>
    <w:rsid w:val="00ED5234"/>
    <w:rsid w:val="00ED5C41"/>
    <w:rsid w:val="00EE1152"/>
    <w:rsid w:val="00EE2474"/>
    <w:rsid w:val="00EF28C5"/>
    <w:rsid w:val="00EF324E"/>
    <w:rsid w:val="00EF349C"/>
    <w:rsid w:val="00EF39B2"/>
    <w:rsid w:val="00EF39ED"/>
    <w:rsid w:val="00F021CF"/>
    <w:rsid w:val="00F05B0F"/>
    <w:rsid w:val="00F12BB0"/>
    <w:rsid w:val="00F13DE3"/>
    <w:rsid w:val="00F13E79"/>
    <w:rsid w:val="00F16AF2"/>
    <w:rsid w:val="00F17BAE"/>
    <w:rsid w:val="00F2001D"/>
    <w:rsid w:val="00F20029"/>
    <w:rsid w:val="00F2201F"/>
    <w:rsid w:val="00F23852"/>
    <w:rsid w:val="00F24D86"/>
    <w:rsid w:val="00F318B8"/>
    <w:rsid w:val="00F323B7"/>
    <w:rsid w:val="00F33B15"/>
    <w:rsid w:val="00F341B8"/>
    <w:rsid w:val="00F417A3"/>
    <w:rsid w:val="00F42B7E"/>
    <w:rsid w:val="00F42C82"/>
    <w:rsid w:val="00F42EDB"/>
    <w:rsid w:val="00F44275"/>
    <w:rsid w:val="00F46C0C"/>
    <w:rsid w:val="00F5064E"/>
    <w:rsid w:val="00F55B72"/>
    <w:rsid w:val="00F6056C"/>
    <w:rsid w:val="00F60CB5"/>
    <w:rsid w:val="00F61581"/>
    <w:rsid w:val="00F62E7F"/>
    <w:rsid w:val="00F63BB9"/>
    <w:rsid w:val="00F658B9"/>
    <w:rsid w:val="00F67DBB"/>
    <w:rsid w:val="00F700AA"/>
    <w:rsid w:val="00F718B0"/>
    <w:rsid w:val="00F73A71"/>
    <w:rsid w:val="00F77D48"/>
    <w:rsid w:val="00F8293E"/>
    <w:rsid w:val="00F82BD4"/>
    <w:rsid w:val="00F84C94"/>
    <w:rsid w:val="00F90BB6"/>
    <w:rsid w:val="00F915D1"/>
    <w:rsid w:val="00F91939"/>
    <w:rsid w:val="00F93E86"/>
    <w:rsid w:val="00F9576D"/>
    <w:rsid w:val="00F95F0C"/>
    <w:rsid w:val="00F9732F"/>
    <w:rsid w:val="00FA0E7F"/>
    <w:rsid w:val="00FA3548"/>
    <w:rsid w:val="00FA4B38"/>
    <w:rsid w:val="00FA50EB"/>
    <w:rsid w:val="00FA6DC0"/>
    <w:rsid w:val="00FA7EB1"/>
    <w:rsid w:val="00FB1CEC"/>
    <w:rsid w:val="00FB419B"/>
    <w:rsid w:val="00FB46DC"/>
    <w:rsid w:val="00FB6F9F"/>
    <w:rsid w:val="00FB7A48"/>
    <w:rsid w:val="00FC0BDE"/>
    <w:rsid w:val="00FC12FE"/>
    <w:rsid w:val="00FC1489"/>
    <w:rsid w:val="00FC3441"/>
    <w:rsid w:val="00FD1ED3"/>
    <w:rsid w:val="00FD6C28"/>
    <w:rsid w:val="00FE1287"/>
    <w:rsid w:val="00FE310B"/>
    <w:rsid w:val="00FE39B9"/>
    <w:rsid w:val="00FE6AD7"/>
    <w:rsid w:val="00FF1BA9"/>
    <w:rsid w:val="00FF5290"/>
    <w:rsid w:val="00FF60DC"/>
    <w:rsid w:val="01714809"/>
    <w:rsid w:val="017D4F5C"/>
    <w:rsid w:val="019C3A88"/>
    <w:rsid w:val="02287D7E"/>
    <w:rsid w:val="02824A0C"/>
    <w:rsid w:val="029C37A6"/>
    <w:rsid w:val="030E6553"/>
    <w:rsid w:val="03101E00"/>
    <w:rsid w:val="034760DE"/>
    <w:rsid w:val="0352059C"/>
    <w:rsid w:val="03960557"/>
    <w:rsid w:val="03C84930"/>
    <w:rsid w:val="03DF7E09"/>
    <w:rsid w:val="03E5503B"/>
    <w:rsid w:val="03E67E90"/>
    <w:rsid w:val="03EA4D45"/>
    <w:rsid w:val="043613A4"/>
    <w:rsid w:val="04402271"/>
    <w:rsid w:val="045D1075"/>
    <w:rsid w:val="04615143"/>
    <w:rsid w:val="04706FFA"/>
    <w:rsid w:val="04754202"/>
    <w:rsid w:val="048320BB"/>
    <w:rsid w:val="04B563C2"/>
    <w:rsid w:val="04E20173"/>
    <w:rsid w:val="05453FE3"/>
    <w:rsid w:val="05531A54"/>
    <w:rsid w:val="05E53AA2"/>
    <w:rsid w:val="05F92C68"/>
    <w:rsid w:val="0620235A"/>
    <w:rsid w:val="063B5B32"/>
    <w:rsid w:val="06571B7A"/>
    <w:rsid w:val="06802D00"/>
    <w:rsid w:val="06B10ACD"/>
    <w:rsid w:val="06C25923"/>
    <w:rsid w:val="071D11C9"/>
    <w:rsid w:val="077111CE"/>
    <w:rsid w:val="0772575A"/>
    <w:rsid w:val="07DA3A8F"/>
    <w:rsid w:val="07E13D6B"/>
    <w:rsid w:val="08316975"/>
    <w:rsid w:val="08510EF1"/>
    <w:rsid w:val="089D7C92"/>
    <w:rsid w:val="08E6788B"/>
    <w:rsid w:val="08FC2ADE"/>
    <w:rsid w:val="09381617"/>
    <w:rsid w:val="09663A90"/>
    <w:rsid w:val="09BB7E2B"/>
    <w:rsid w:val="09C92DD3"/>
    <w:rsid w:val="09CF6E4B"/>
    <w:rsid w:val="0A811BB3"/>
    <w:rsid w:val="0AB4609E"/>
    <w:rsid w:val="0AC91212"/>
    <w:rsid w:val="0ADE415D"/>
    <w:rsid w:val="0B1D155E"/>
    <w:rsid w:val="0B7D60D6"/>
    <w:rsid w:val="0BD554C2"/>
    <w:rsid w:val="0BF12E85"/>
    <w:rsid w:val="0BF56037"/>
    <w:rsid w:val="0C113BDB"/>
    <w:rsid w:val="0C63073D"/>
    <w:rsid w:val="0C7318E1"/>
    <w:rsid w:val="0C801DA5"/>
    <w:rsid w:val="0C901A7D"/>
    <w:rsid w:val="0CCF6888"/>
    <w:rsid w:val="0CF960FB"/>
    <w:rsid w:val="0D0C188A"/>
    <w:rsid w:val="0D5B3431"/>
    <w:rsid w:val="0D5D5C42"/>
    <w:rsid w:val="0D7F10EF"/>
    <w:rsid w:val="0DD71E98"/>
    <w:rsid w:val="0E06452B"/>
    <w:rsid w:val="0E43752E"/>
    <w:rsid w:val="0EE32E18"/>
    <w:rsid w:val="0F121EF0"/>
    <w:rsid w:val="0F421526"/>
    <w:rsid w:val="101038B6"/>
    <w:rsid w:val="10196798"/>
    <w:rsid w:val="108B2ADA"/>
    <w:rsid w:val="11301FEB"/>
    <w:rsid w:val="11304CEB"/>
    <w:rsid w:val="114013AE"/>
    <w:rsid w:val="118916FB"/>
    <w:rsid w:val="11A7392F"/>
    <w:rsid w:val="11AF4DCB"/>
    <w:rsid w:val="11BD2408"/>
    <w:rsid w:val="11CB238C"/>
    <w:rsid w:val="11DF1890"/>
    <w:rsid w:val="12123D74"/>
    <w:rsid w:val="12237B08"/>
    <w:rsid w:val="126A6425"/>
    <w:rsid w:val="127C6B6A"/>
    <w:rsid w:val="127E6D86"/>
    <w:rsid w:val="12955111"/>
    <w:rsid w:val="12B427A8"/>
    <w:rsid w:val="12C54282"/>
    <w:rsid w:val="12CC6E6D"/>
    <w:rsid w:val="13806E42"/>
    <w:rsid w:val="13F56BD4"/>
    <w:rsid w:val="140E7482"/>
    <w:rsid w:val="14364D57"/>
    <w:rsid w:val="1440520B"/>
    <w:rsid w:val="14496F20"/>
    <w:rsid w:val="14654E7D"/>
    <w:rsid w:val="14737EE6"/>
    <w:rsid w:val="149063EC"/>
    <w:rsid w:val="15082937"/>
    <w:rsid w:val="151A0368"/>
    <w:rsid w:val="158346B4"/>
    <w:rsid w:val="15B50D11"/>
    <w:rsid w:val="15CA2436"/>
    <w:rsid w:val="16184994"/>
    <w:rsid w:val="16465E0D"/>
    <w:rsid w:val="16467BBB"/>
    <w:rsid w:val="165D6CB3"/>
    <w:rsid w:val="16AB5C70"/>
    <w:rsid w:val="16B94831"/>
    <w:rsid w:val="171071EA"/>
    <w:rsid w:val="174F62D6"/>
    <w:rsid w:val="17567CE5"/>
    <w:rsid w:val="175C51BC"/>
    <w:rsid w:val="17CA0378"/>
    <w:rsid w:val="17EE77F0"/>
    <w:rsid w:val="180F7034"/>
    <w:rsid w:val="183A0A1F"/>
    <w:rsid w:val="187A1D9E"/>
    <w:rsid w:val="188449CB"/>
    <w:rsid w:val="18D56A9E"/>
    <w:rsid w:val="18F602DF"/>
    <w:rsid w:val="18FC27B3"/>
    <w:rsid w:val="19006747"/>
    <w:rsid w:val="190525BE"/>
    <w:rsid w:val="19650358"/>
    <w:rsid w:val="196565AA"/>
    <w:rsid w:val="197113FE"/>
    <w:rsid w:val="198C1D89"/>
    <w:rsid w:val="199D6C9B"/>
    <w:rsid w:val="19C23937"/>
    <w:rsid w:val="1A342318"/>
    <w:rsid w:val="1A400CBF"/>
    <w:rsid w:val="1A8B2726"/>
    <w:rsid w:val="1A9E3268"/>
    <w:rsid w:val="1AA9566D"/>
    <w:rsid w:val="1AD0039B"/>
    <w:rsid w:val="1AFC1190"/>
    <w:rsid w:val="1AFE6CB6"/>
    <w:rsid w:val="1B4437A3"/>
    <w:rsid w:val="1B74013C"/>
    <w:rsid w:val="1B7900EB"/>
    <w:rsid w:val="1B811F55"/>
    <w:rsid w:val="1BCA1848"/>
    <w:rsid w:val="1BCB4126"/>
    <w:rsid w:val="1BE539D2"/>
    <w:rsid w:val="1C652E9E"/>
    <w:rsid w:val="1C762227"/>
    <w:rsid w:val="1CD74ACF"/>
    <w:rsid w:val="1CDC3027"/>
    <w:rsid w:val="1CE974F2"/>
    <w:rsid w:val="1CF57C45"/>
    <w:rsid w:val="1CFA34AD"/>
    <w:rsid w:val="1D9F120E"/>
    <w:rsid w:val="1DB055BD"/>
    <w:rsid w:val="1E0D2BED"/>
    <w:rsid w:val="1E591AD6"/>
    <w:rsid w:val="1E622C59"/>
    <w:rsid w:val="1E674B72"/>
    <w:rsid w:val="1E6E343B"/>
    <w:rsid w:val="1E7B37A5"/>
    <w:rsid w:val="1EA44D1C"/>
    <w:rsid w:val="1EB0258C"/>
    <w:rsid w:val="1ECD2D49"/>
    <w:rsid w:val="1F14499E"/>
    <w:rsid w:val="1F5B26C7"/>
    <w:rsid w:val="1F5C044F"/>
    <w:rsid w:val="1FF450C0"/>
    <w:rsid w:val="203A4DF7"/>
    <w:rsid w:val="204326FB"/>
    <w:rsid w:val="20793160"/>
    <w:rsid w:val="208714FC"/>
    <w:rsid w:val="20E00C0C"/>
    <w:rsid w:val="21114778"/>
    <w:rsid w:val="21430A11"/>
    <w:rsid w:val="215A4BDB"/>
    <w:rsid w:val="217C0CE7"/>
    <w:rsid w:val="21962D82"/>
    <w:rsid w:val="219D221A"/>
    <w:rsid w:val="21AB33D9"/>
    <w:rsid w:val="223A41F0"/>
    <w:rsid w:val="224109E7"/>
    <w:rsid w:val="224F2695"/>
    <w:rsid w:val="227A6216"/>
    <w:rsid w:val="227E7DB1"/>
    <w:rsid w:val="22CA56D0"/>
    <w:rsid w:val="22EB689E"/>
    <w:rsid w:val="231A341A"/>
    <w:rsid w:val="2346744C"/>
    <w:rsid w:val="234F5BD5"/>
    <w:rsid w:val="235E2371"/>
    <w:rsid w:val="23697186"/>
    <w:rsid w:val="238A3C26"/>
    <w:rsid w:val="238B30B1"/>
    <w:rsid w:val="23B51EDC"/>
    <w:rsid w:val="24214F8F"/>
    <w:rsid w:val="248F38ED"/>
    <w:rsid w:val="249C2E00"/>
    <w:rsid w:val="24B147FA"/>
    <w:rsid w:val="24FE78B3"/>
    <w:rsid w:val="251F5A1E"/>
    <w:rsid w:val="257D1F44"/>
    <w:rsid w:val="259124D5"/>
    <w:rsid w:val="25B54415"/>
    <w:rsid w:val="260B04D9"/>
    <w:rsid w:val="265A320F"/>
    <w:rsid w:val="26B92D9B"/>
    <w:rsid w:val="26C07516"/>
    <w:rsid w:val="26DD358D"/>
    <w:rsid w:val="274160AD"/>
    <w:rsid w:val="27623B5F"/>
    <w:rsid w:val="27624129"/>
    <w:rsid w:val="27D72A06"/>
    <w:rsid w:val="27E70F59"/>
    <w:rsid w:val="27F62AEE"/>
    <w:rsid w:val="281C077C"/>
    <w:rsid w:val="283223CC"/>
    <w:rsid w:val="2866365B"/>
    <w:rsid w:val="28E50C7F"/>
    <w:rsid w:val="28EB2659"/>
    <w:rsid w:val="28EC345C"/>
    <w:rsid w:val="29202FD3"/>
    <w:rsid w:val="298F3464"/>
    <w:rsid w:val="2A44220C"/>
    <w:rsid w:val="2A4D2ACE"/>
    <w:rsid w:val="2AB14810"/>
    <w:rsid w:val="2ACD0A78"/>
    <w:rsid w:val="2AD3072D"/>
    <w:rsid w:val="2B0025D7"/>
    <w:rsid w:val="2B5D3585"/>
    <w:rsid w:val="2B6C7C6C"/>
    <w:rsid w:val="2BA507FA"/>
    <w:rsid w:val="2BBE7027"/>
    <w:rsid w:val="2BBF5FEE"/>
    <w:rsid w:val="2BDD6474"/>
    <w:rsid w:val="2C0B54C5"/>
    <w:rsid w:val="2C292017"/>
    <w:rsid w:val="2C540D07"/>
    <w:rsid w:val="2C6375F7"/>
    <w:rsid w:val="2C8E3C12"/>
    <w:rsid w:val="2CAC4BA2"/>
    <w:rsid w:val="2CB35C78"/>
    <w:rsid w:val="2CDF446E"/>
    <w:rsid w:val="2CF23FA9"/>
    <w:rsid w:val="2CF40890"/>
    <w:rsid w:val="2D0F08AF"/>
    <w:rsid w:val="2D1719A4"/>
    <w:rsid w:val="2D2E420C"/>
    <w:rsid w:val="2D3B78F6"/>
    <w:rsid w:val="2DDE509E"/>
    <w:rsid w:val="2E652751"/>
    <w:rsid w:val="2EDC6EB7"/>
    <w:rsid w:val="2F204A26"/>
    <w:rsid w:val="2F3045A4"/>
    <w:rsid w:val="2F567AA0"/>
    <w:rsid w:val="2FAE3FB1"/>
    <w:rsid w:val="30004E27"/>
    <w:rsid w:val="301645BB"/>
    <w:rsid w:val="30302844"/>
    <w:rsid w:val="30410981"/>
    <w:rsid w:val="30654C8A"/>
    <w:rsid w:val="309F5392"/>
    <w:rsid w:val="30B4367E"/>
    <w:rsid w:val="30DD02DC"/>
    <w:rsid w:val="30F524B2"/>
    <w:rsid w:val="313D3E0A"/>
    <w:rsid w:val="3149205F"/>
    <w:rsid w:val="315F16D9"/>
    <w:rsid w:val="3161171F"/>
    <w:rsid w:val="319A28B2"/>
    <w:rsid w:val="32696CB3"/>
    <w:rsid w:val="3276083D"/>
    <w:rsid w:val="32764F2C"/>
    <w:rsid w:val="329A3661"/>
    <w:rsid w:val="32CA771E"/>
    <w:rsid w:val="32D16C5C"/>
    <w:rsid w:val="330B6D05"/>
    <w:rsid w:val="339B19D0"/>
    <w:rsid w:val="33A960A0"/>
    <w:rsid w:val="33D043A5"/>
    <w:rsid w:val="33D600AF"/>
    <w:rsid w:val="33EE2317"/>
    <w:rsid w:val="33FE78CF"/>
    <w:rsid w:val="343706EB"/>
    <w:rsid w:val="34586FDF"/>
    <w:rsid w:val="34830C48"/>
    <w:rsid w:val="348C4016"/>
    <w:rsid w:val="34BF0E0C"/>
    <w:rsid w:val="34FE36A0"/>
    <w:rsid w:val="3508551A"/>
    <w:rsid w:val="355A0B35"/>
    <w:rsid w:val="35841C19"/>
    <w:rsid w:val="359C0F7A"/>
    <w:rsid w:val="35A900B2"/>
    <w:rsid w:val="35CB5FBA"/>
    <w:rsid w:val="35DF47C9"/>
    <w:rsid w:val="35E113E3"/>
    <w:rsid w:val="360A4309"/>
    <w:rsid w:val="362759D7"/>
    <w:rsid w:val="36FB18C7"/>
    <w:rsid w:val="370B120F"/>
    <w:rsid w:val="3725656C"/>
    <w:rsid w:val="37757EA8"/>
    <w:rsid w:val="37776170"/>
    <w:rsid w:val="37781747"/>
    <w:rsid w:val="37847CCD"/>
    <w:rsid w:val="378B37C3"/>
    <w:rsid w:val="379A7F64"/>
    <w:rsid w:val="37C001F2"/>
    <w:rsid w:val="37CD2E49"/>
    <w:rsid w:val="37E1553E"/>
    <w:rsid w:val="38044D88"/>
    <w:rsid w:val="380543FC"/>
    <w:rsid w:val="381C1DAF"/>
    <w:rsid w:val="382B35B4"/>
    <w:rsid w:val="384C426B"/>
    <w:rsid w:val="38E946AA"/>
    <w:rsid w:val="391F2E54"/>
    <w:rsid w:val="3941563D"/>
    <w:rsid w:val="39423DBA"/>
    <w:rsid w:val="39665CFB"/>
    <w:rsid w:val="39994758"/>
    <w:rsid w:val="3A045513"/>
    <w:rsid w:val="3A5E423D"/>
    <w:rsid w:val="3AE332B3"/>
    <w:rsid w:val="3B071D45"/>
    <w:rsid w:val="3B136ADE"/>
    <w:rsid w:val="3B2E2790"/>
    <w:rsid w:val="3B8331C0"/>
    <w:rsid w:val="3BA725FA"/>
    <w:rsid w:val="3BB54959"/>
    <w:rsid w:val="3C497E28"/>
    <w:rsid w:val="3C4B11D8"/>
    <w:rsid w:val="3C4F6F1A"/>
    <w:rsid w:val="3C504816"/>
    <w:rsid w:val="3C8C247C"/>
    <w:rsid w:val="3CC66AB0"/>
    <w:rsid w:val="3CD016DD"/>
    <w:rsid w:val="3D276890"/>
    <w:rsid w:val="3D514278"/>
    <w:rsid w:val="3D624A2B"/>
    <w:rsid w:val="3D65545B"/>
    <w:rsid w:val="3DD376D7"/>
    <w:rsid w:val="3DFB2CDF"/>
    <w:rsid w:val="3DFC0228"/>
    <w:rsid w:val="3E124D83"/>
    <w:rsid w:val="3E200906"/>
    <w:rsid w:val="3E545486"/>
    <w:rsid w:val="3E68129D"/>
    <w:rsid w:val="3E770A56"/>
    <w:rsid w:val="3E7C6D69"/>
    <w:rsid w:val="3E7F160D"/>
    <w:rsid w:val="3E9B2376"/>
    <w:rsid w:val="3EB83A8B"/>
    <w:rsid w:val="3EE51A3E"/>
    <w:rsid w:val="3EF20030"/>
    <w:rsid w:val="3F4D512E"/>
    <w:rsid w:val="3F79189D"/>
    <w:rsid w:val="3F874C1D"/>
    <w:rsid w:val="3FA119B7"/>
    <w:rsid w:val="3FC96FE3"/>
    <w:rsid w:val="3FE32777"/>
    <w:rsid w:val="400D3374"/>
    <w:rsid w:val="40177DE3"/>
    <w:rsid w:val="40371D16"/>
    <w:rsid w:val="407A192C"/>
    <w:rsid w:val="4093098F"/>
    <w:rsid w:val="40D3768B"/>
    <w:rsid w:val="40E35C98"/>
    <w:rsid w:val="4110479E"/>
    <w:rsid w:val="417A1877"/>
    <w:rsid w:val="4186089B"/>
    <w:rsid w:val="42075BA1"/>
    <w:rsid w:val="42654E02"/>
    <w:rsid w:val="427C0258"/>
    <w:rsid w:val="42EF614C"/>
    <w:rsid w:val="43212C92"/>
    <w:rsid w:val="432253DD"/>
    <w:rsid w:val="432E715D"/>
    <w:rsid w:val="43863DDA"/>
    <w:rsid w:val="43D011EA"/>
    <w:rsid w:val="43FE4D82"/>
    <w:rsid w:val="44127405"/>
    <w:rsid w:val="441477C8"/>
    <w:rsid w:val="442364AE"/>
    <w:rsid w:val="444035EC"/>
    <w:rsid w:val="444939F2"/>
    <w:rsid w:val="444C01E3"/>
    <w:rsid w:val="44557E80"/>
    <w:rsid w:val="445B1AA2"/>
    <w:rsid w:val="4473408E"/>
    <w:rsid w:val="450308A1"/>
    <w:rsid w:val="450E5C39"/>
    <w:rsid w:val="454F361F"/>
    <w:rsid w:val="45551365"/>
    <w:rsid w:val="45CD35FE"/>
    <w:rsid w:val="45CD7101"/>
    <w:rsid w:val="461D2940"/>
    <w:rsid w:val="46432A96"/>
    <w:rsid w:val="46484442"/>
    <w:rsid w:val="46501852"/>
    <w:rsid w:val="466C2476"/>
    <w:rsid w:val="47354F5E"/>
    <w:rsid w:val="475B66AF"/>
    <w:rsid w:val="476F66C2"/>
    <w:rsid w:val="47867568"/>
    <w:rsid w:val="47B01446"/>
    <w:rsid w:val="47CC27EE"/>
    <w:rsid w:val="47F95F8C"/>
    <w:rsid w:val="480C3F11"/>
    <w:rsid w:val="482809DA"/>
    <w:rsid w:val="4881312E"/>
    <w:rsid w:val="48965ED0"/>
    <w:rsid w:val="489B5295"/>
    <w:rsid w:val="48C447EC"/>
    <w:rsid w:val="491E1806"/>
    <w:rsid w:val="49575660"/>
    <w:rsid w:val="495E7B70"/>
    <w:rsid w:val="496B47B7"/>
    <w:rsid w:val="4A0B7731"/>
    <w:rsid w:val="4A21248F"/>
    <w:rsid w:val="4A63245A"/>
    <w:rsid w:val="4A9A751F"/>
    <w:rsid w:val="4AB8212E"/>
    <w:rsid w:val="4AC05A5A"/>
    <w:rsid w:val="4AE10089"/>
    <w:rsid w:val="4B022328"/>
    <w:rsid w:val="4B15132F"/>
    <w:rsid w:val="4B384AFB"/>
    <w:rsid w:val="4B3A3DE4"/>
    <w:rsid w:val="4B6217B9"/>
    <w:rsid w:val="4B701FD3"/>
    <w:rsid w:val="4B77032C"/>
    <w:rsid w:val="4B9009B5"/>
    <w:rsid w:val="4BCA4DC2"/>
    <w:rsid w:val="4BD125AC"/>
    <w:rsid w:val="4BD340D8"/>
    <w:rsid w:val="4C044CA2"/>
    <w:rsid w:val="4C2B6930"/>
    <w:rsid w:val="4C360546"/>
    <w:rsid w:val="4C51545C"/>
    <w:rsid w:val="4C983286"/>
    <w:rsid w:val="4CD6552E"/>
    <w:rsid w:val="4CE4720A"/>
    <w:rsid w:val="4CFF75D5"/>
    <w:rsid w:val="4D080842"/>
    <w:rsid w:val="4D1F2012"/>
    <w:rsid w:val="4D8D65E2"/>
    <w:rsid w:val="4DAE5F5E"/>
    <w:rsid w:val="4DF60D20"/>
    <w:rsid w:val="4E45017D"/>
    <w:rsid w:val="4E6B5729"/>
    <w:rsid w:val="4EA404FD"/>
    <w:rsid w:val="4EBE3A8B"/>
    <w:rsid w:val="4FA56487"/>
    <w:rsid w:val="4FA9473B"/>
    <w:rsid w:val="4FC44EDC"/>
    <w:rsid w:val="4FCA1BB7"/>
    <w:rsid w:val="4FF051A0"/>
    <w:rsid w:val="4FFA00C2"/>
    <w:rsid w:val="50141FA4"/>
    <w:rsid w:val="507506FE"/>
    <w:rsid w:val="50AF18DD"/>
    <w:rsid w:val="50D954C3"/>
    <w:rsid w:val="50FE2791"/>
    <w:rsid w:val="51057A2C"/>
    <w:rsid w:val="515210A3"/>
    <w:rsid w:val="51752B27"/>
    <w:rsid w:val="51AE1584"/>
    <w:rsid w:val="51B51175"/>
    <w:rsid w:val="51D61265"/>
    <w:rsid w:val="520B348B"/>
    <w:rsid w:val="52360995"/>
    <w:rsid w:val="52554706"/>
    <w:rsid w:val="52950FA7"/>
    <w:rsid w:val="52B4767F"/>
    <w:rsid w:val="52C12FB4"/>
    <w:rsid w:val="52D65A4D"/>
    <w:rsid w:val="53307DE8"/>
    <w:rsid w:val="535B5D4C"/>
    <w:rsid w:val="53866EE0"/>
    <w:rsid w:val="538F587F"/>
    <w:rsid w:val="544E2FF3"/>
    <w:rsid w:val="54791DE5"/>
    <w:rsid w:val="54BD0670"/>
    <w:rsid w:val="551C55B1"/>
    <w:rsid w:val="55540DB3"/>
    <w:rsid w:val="55807CEC"/>
    <w:rsid w:val="55BB0FC4"/>
    <w:rsid w:val="55D63612"/>
    <w:rsid w:val="564E3947"/>
    <w:rsid w:val="567F7FA4"/>
    <w:rsid w:val="56C113D0"/>
    <w:rsid w:val="56CB143B"/>
    <w:rsid w:val="56D56727"/>
    <w:rsid w:val="56E83D9B"/>
    <w:rsid w:val="56EF35DE"/>
    <w:rsid w:val="56F73FDE"/>
    <w:rsid w:val="57A2219C"/>
    <w:rsid w:val="57B27F05"/>
    <w:rsid w:val="57DF1880"/>
    <w:rsid w:val="57E05BE1"/>
    <w:rsid w:val="58346A24"/>
    <w:rsid w:val="585B059D"/>
    <w:rsid w:val="58F72073"/>
    <w:rsid w:val="59464DA9"/>
    <w:rsid w:val="59582D13"/>
    <w:rsid w:val="59654F1B"/>
    <w:rsid w:val="59F82547"/>
    <w:rsid w:val="5A4716C0"/>
    <w:rsid w:val="5A4A08C9"/>
    <w:rsid w:val="5A592B81"/>
    <w:rsid w:val="5A601E9A"/>
    <w:rsid w:val="5A637F59"/>
    <w:rsid w:val="5A8E6B50"/>
    <w:rsid w:val="5AE859CD"/>
    <w:rsid w:val="5B526E3B"/>
    <w:rsid w:val="5B7F52B4"/>
    <w:rsid w:val="5C146454"/>
    <w:rsid w:val="5C8D47B8"/>
    <w:rsid w:val="5CAB2299"/>
    <w:rsid w:val="5D176670"/>
    <w:rsid w:val="5D355860"/>
    <w:rsid w:val="5D635F29"/>
    <w:rsid w:val="5DB42246"/>
    <w:rsid w:val="5DBC1ADE"/>
    <w:rsid w:val="5DE442A1"/>
    <w:rsid w:val="5E0D2C7D"/>
    <w:rsid w:val="5E2C755E"/>
    <w:rsid w:val="5E4A6AF2"/>
    <w:rsid w:val="5EFB5FCF"/>
    <w:rsid w:val="5F185E67"/>
    <w:rsid w:val="5F4E6765"/>
    <w:rsid w:val="5F912EFC"/>
    <w:rsid w:val="5FA752A4"/>
    <w:rsid w:val="5FB966D4"/>
    <w:rsid w:val="5FD0312C"/>
    <w:rsid w:val="5FF94273"/>
    <w:rsid w:val="60032F94"/>
    <w:rsid w:val="60033B95"/>
    <w:rsid w:val="600F4147"/>
    <w:rsid w:val="60532394"/>
    <w:rsid w:val="605C4EB2"/>
    <w:rsid w:val="609346F9"/>
    <w:rsid w:val="60976762"/>
    <w:rsid w:val="60E87DCD"/>
    <w:rsid w:val="615674ED"/>
    <w:rsid w:val="619C4373"/>
    <w:rsid w:val="62202150"/>
    <w:rsid w:val="62255EA3"/>
    <w:rsid w:val="62391AF7"/>
    <w:rsid w:val="629B6165"/>
    <w:rsid w:val="62FC28B2"/>
    <w:rsid w:val="633F11E7"/>
    <w:rsid w:val="635001EF"/>
    <w:rsid w:val="637048DB"/>
    <w:rsid w:val="63D0272B"/>
    <w:rsid w:val="64834717"/>
    <w:rsid w:val="64AA146F"/>
    <w:rsid w:val="64F629E2"/>
    <w:rsid w:val="650B1EAB"/>
    <w:rsid w:val="65335497"/>
    <w:rsid w:val="65431800"/>
    <w:rsid w:val="654A7869"/>
    <w:rsid w:val="65841133"/>
    <w:rsid w:val="659956F1"/>
    <w:rsid w:val="65D379C4"/>
    <w:rsid w:val="65D76172"/>
    <w:rsid w:val="66C77325"/>
    <w:rsid w:val="66CE3288"/>
    <w:rsid w:val="678673E4"/>
    <w:rsid w:val="679715F1"/>
    <w:rsid w:val="684D3A5E"/>
    <w:rsid w:val="68686AEA"/>
    <w:rsid w:val="68931D4F"/>
    <w:rsid w:val="689659F3"/>
    <w:rsid w:val="68996CA3"/>
    <w:rsid w:val="68C33D20"/>
    <w:rsid w:val="68C6406F"/>
    <w:rsid w:val="691B590A"/>
    <w:rsid w:val="69205616"/>
    <w:rsid w:val="69270753"/>
    <w:rsid w:val="69A91168"/>
    <w:rsid w:val="69CB37D4"/>
    <w:rsid w:val="69D501AF"/>
    <w:rsid w:val="6A1638AD"/>
    <w:rsid w:val="6A3944D6"/>
    <w:rsid w:val="6A411797"/>
    <w:rsid w:val="6B3C0F88"/>
    <w:rsid w:val="6B4551DF"/>
    <w:rsid w:val="6B8D733F"/>
    <w:rsid w:val="6B9E2823"/>
    <w:rsid w:val="6BBD714D"/>
    <w:rsid w:val="6BC90267"/>
    <w:rsid w:val="6BC935EB"/>
    <w:rsid w:val="6C0134DD"/>
    <w:rsid w:val="6C1D59BA"/>
    <w:rsid w:val="6C2C6080"/>
    <w:rsid w:val="6C865790"/>
    <w:rsid w:val="6C992C34"/>
    <w:rsid w:val="6CA95923"/>
    <w:rsid w:val="6CDF45CD"/>
    <w:rsid w:val="6D2C27DC"/>
    <w:rsid w:val="6D3F2110"/>
    <w:rsid w:val="6D7418A4"/>
    <w:rsid w:val="6D756958"/>
    <w:rsid w:val="6DCF760B"/>
    <w:rsid w:val="6DEA61F3"/>
    <w:rsid w:val="6E1C2F95"/>
    <w:rsid w:val="6E25722B"/>
    <w:rsid w:val="6E2A38BB"/>
    <w:rsid w:val="6E3B0A20"/>
    <w:rsid w:val="6F046E40"/>
    <w:rsid w:val="6F060FC5"/>
    <w:rsid w:val="6F4436E1"/>
    <w:rsid w:val="6FB46AB9"/>
    <w:rsid w:val="70227EC6"/>
    <w:rsid w:val="702C43E6"/>
    <w:rsid w:val="704D41BE"/>
    <w:rsid w:val="705F6805"/>
    <w:rsid w:val="709754C7"/>
    <w:rsid w:val="71035C45"/>
    <w:rsid w:val="711835B9"/>
    <w:rsid w:val="71542301"/>
    <w:rsid w:val="718323E3"/>
    <w:rsid w:val="718B3849"/>
    <w:rsid w:val="719A58E8"/>
    <w:rsid w:val="725C51D2"/>
    <w:rsid w:val="72C464D5"/>
    <w:rsid w:val="72E90ED3"/>
    <w:rsid w:val="73243B96"/>
    <w:rsid w:val="734D5BB3"/>
    <w:rsid w:val="73663647"/>
    <w:rsid w:val="7377015A"/>
    <w:rsid w:val="73966C01"/>
    <w:rsid w:val="739D2BFF"/>
    <w:rsid w:val="73B77D0C"/>
    <w:rsid w:val="73C37269"/>
    <w:rsid w:val="73F25D2E"/>
    <w:rsid w:val="74027DBB"/>
    <w:rsid w:val="746F6794"/>
    <w:rsid w:val="74856C75"/>
    <w:rsid w:val="752419D7"/>
    <w:rsid w:val="7526130E"/>
    <w:rsid w:val="75276C4C"/>
    <w:rsid w:val="756E5DDB"/>
    <w:rsid w:val="75A62E64"/>
    <w:rsid w:val="75B4228D"/>
    <w:rsid w:val="75BB53FD"/>
    <w:rsid w:val="75E96582"/>
    <w:rsid w:val="75EE331A"/>
    <w:rsid w:val="764531F5"/>
    <w:rsid w:val="76466B91"/>
    <w:rsid w:val="76470CAA"/>
    <w:rsid w:val="764D1082"/>
    <w:rsid w:val="76696582"/>
    <w:rsid w:val="766F2799"/>
    <w:rsid w:val="76992564"/>
    <w:rsid w:val="76BF021D"/>
    <w:rsid w:val="76D90BB3"/>
    <w:rsid w:val="76F123A0"/>
    <w:rsid w:val="76FC63AD"/>
    <w:rsid w:val="76FD0D45"/>
    <w:rsid w:val="77132317"/>
    <w:rsid w:val="772C5186"/>
    <w:rsid w:val="773B6256"/>
    <w:rsid w:val="774C0D1D"/>
    <w:rsid w:val="7768617D"/>
    <w:rsid w:val="776D5ECB"/>
    <w:rsid w:val="77D55B0E"/>
    <w:rsid w:val="77E837A3"/>
    <w:rsid w:val="77EB6934"/>
    <w:rsid w:val="780B7492"/>
    <w:rsid w:val="782263B1"/>
    <w:rsid w:val="78CE2999"/>
    <w:rsid w:val="79197DDA"/>
    <w:rsid w:val="792C0FD8"/>
    <w:rsid w:val="796926E2"/>
    <w:rsid w:val="796E2148"/>
    <w:rsid w:val="79AA25BE"/>
    <w:rsid w:val="79D745FF"/>
    <w:rsid w:val="7A3C0663"/>
    <w:rsid w:val="7A716DAA"/>
    <w:rsid w:val="7AB3715F"/>
    <w:rsid w:val="7AC758F2"/>
    <w:rsid w:val="7AE45D36"/>
    <w:rsid w:val="7AE77D42"/>
    <w:rsid w:val="7BA45C33"/>
    <w:rsid w:val="7BB25107"/>
    <w:rsid w:val="7BFB1265"/>
    <w:rsid w:val="7C6F4493"/>
    <w:rsid w:val="7CFD1A9F"/>
    <w:rsid w:val="7D07233B"/>
    <w:rsid w:val="7D1B6488"/>
    <w:rsid w:val="7D40391F"/>
    <w:rsid w:val="7D945CD3"/>
    <w:rsid w:val="7DD722F0"/>
    <w:rsid w:val="7DD81BC4"/>
    <w:rsid w:val="7DF96BCA"/>
    <w:rsid w:val="7E1251F4"/>
    <w:rsid w:val="7E1C2370"/>
    <w:rsid w:val="7E1C2E5A"/>
    <w:rsid w:val="7E1C41A7"/>
    <w:rsid w:val="7E357016"/>
    <w:rsid w:val="7E6416AA"/>
    <w:rsid w:val="7EE66F59"/>
    <w:rsid w:val="7F194DAD"/>
    <w:rsid w:val="7F1A6E76"/>
    <w:rsid w:val="7F1F783D"/>
    <w:rsid w:val="7F531E4A"/>
    <w:rsid w:val="7FAF396D"/>
    <w:rsid w:val="7FDF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1" w:semiHidden="0" w:name="heading 3"/>
    <w:lsdException w:qFormat="1" w:uiPriority="1" w:semiHidden="0" w:name="heading 4"/>
    <w:lsdException w:qFormat="1" w:uiPriority="1"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2">
    <w:name w:val="heading 1"/>
    <w:basedOn w:val="1"/>
    <w:next w:val="1"/>
    <w:qFormat/>
    <w:uiPriority w:val="1"/>
    <w:pPr>
      <w:keepNext/>
      <w:keepLines/>
      <w:spacing w:before="340" w:after="330" w:line="576" w:lineRule="auto"/>
      <w:outlineLvl w:val="0"/>
    </w:pPr>
    <w:rPr>
      <w:b/>
      <w:kern w:val="44"/>
      <w:sz w:val="44"/>
    </w:rPr>
  </w:style>
  <w:style w:type="paragraph" w:styleId="3">
    <w:name w:val="heading 2"/>
    <w:basedOn w:val="1"/>
    <w:next w:val="1"/>
    <w:link w:val="30"/>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paragraph" w:styleId="4">
    <w:name w:val="heading 3"/>
    <w:basedOn w:val="1"/>
    <w:next w:val="1"/>
    <w:unhideWhenUsed/>
    <w:qFormat/>
    <w:uiPriority w:val="1"/>
    <w:pPr>
      <w:keepNext/>
      <w:keepLines/>
      <w:spacing w:before="260" w:after="260" w:line="413" w:lineRule="auto"/>
      <w:outlineLvl w:val="2"/>
    </w:pPr>
    <w:rPr>
      <w:b/>
      <w:sz w:val="32"/>
    </w:rPr>
  </w:style>
  <w:style w:type="paragraph" w:styleId="5">
    <w:name w:val="heading 4"/>
    <w:basedOn w:val="1"/>
    <w:next w:val="1"/>
    <w:link w:val="35"/>
    <w:unhideWhenUsed/>
    <w:qFormat/>
    <w:uiPriority w:val="1"/>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3"/>
    <w:unhideWhenUsed/>
    <w:qFormat/>
    <w:uiPriority w:val="1"/>
    <w:pPr>
      <w:keepNext/>
      <w:keepLines/>
      <w:spacing w:before="280" w:after="290" w:line="376" w:lineRule="auto"/>
      <w:outlineLvl w:val="4"/>
    </w:pPr>
    <w:rPr>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8"/>
    <w:qFormat/>
    <w:uiPriority w:val="0"/>
    <w:pPr>
      <w:spacing w:line="360" w:lineRule="auto"/>
      <w:ind w:firstLine="420" w:firstLineChars="200"/>
      <w:jc w:val="left"/>
    </w:pPr>
    <w:rPr>
      <w:rFonts w:ascii="仿宋_GB2312" w:hAnsi="Arial" w:eastAsia="仿宋_GB2312"/>
      <w:kern w:val="0"/>
      <w:sz w:val="30"/>
      <w:szCs w:val="30"/>
    </w:rPr>
  </w:style>
  <w:style w:type="paragraph" w:styleId="8">
    <w:name w:val="Body Text"/>
    <w:basedOn w:val="1"/>
    <w:link w:val="34"/>
    <w:unhideWhenUsed/>
    <w:qFormat/>
    <w:uiPriority w:val="1"/>
    <w:pPr>
      <w:spacing w:after="120"/>
    </w:pPr>
  </w:style>
  <w:style w:type="paragraph" w:styleId="9">
    <w:name w:val="annotation text"/>
    <w:basedOn w:val="1"/>
    <w:link w:val="26"/>
    <w:unhideWhenUsed/>
    <w:qFormat/>
    <w:uiPriority w:val="99"/>
    <w:pPr>
      <w:jc w:val="left"/>
    </w:pPr>
  </w:style>
  <w:style w:type="paragraph" w:styleId="10">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11">
    <w:name w:val="Balloon Text"/>
    <w:basedOn w:val="1"/>
    <w:link w:val="36"/>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toc 1"/>
    <w:basedOn w:val="1"/>
    <w:next w:val="1"/>
    <w:unhideWhenUsed/>
    <w:qFormat/>
    <w:uiPriority w:val="39"/>
    <w:pPr>
      <w:tabs>
        <w:tab w:val="right" w:leader="dot" w:pos="8714"/>
      </w:tabs>
      <w:spacing w:before="60" w:line="360" w:lineRule="auto"/>
      <w:ind w:left="200" w:leftChars="200"/>
      <w:jc w:val="left"/>
    </w:pPr>
    <w:rPr>
      <w:rFonts w:eastAsia="Helvetica" w:cs="Courier"/>
      <w:bCs/>
      <w:caps/>
      <w:sz w:val="30"/>
      <w:szCs w:val="20"/>
    </w:rPr>
  </w:style>
  <w:style w:type="paragraph" w:styleId="15">
    <w:name w:val="Subtitle"/>
    <w:basedOn w:val="1"/>
    <w:next w:val="1"/>
    <w:link w:val="29"/>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6">
    <w:name w:val="toc 2"/>
    <w:basedOn w:val="1"/>
    <w:next w:val="1"/>
    <w:unhideWhenUsed/>
    <w:qFormat/>
    <w:uiPriority w:val="39"/>
    <w:pPr>
      <w:tabs>
        <w:tab w:val="right" w:leader="dot" w:pos="8714"/>
      </w:tabs>
      <w:spacing w:line="360" w:lineRule="auto"/>
      <w:ind w:left="350" w:leftChars="350"/>
      <w:jc w:val="left"/>
    </w:pPr>
    <w:rPr>
      <w:rFonts w:eastAsia="Tms Rmn" w:cs="Courier"/>
      <w:smallCaps/>
      <w:sz w:val="30"/>
      <w:szCs w:val="20"/>
    </w:rPr>
  </w:style>
  <w:style w:type="paragraph" w:styleId="17">
    <w:name w:val="annotation subject"/>
    <w:basedOn w:val="9"/>
    <w:next w:val="9"/>
    <w:link w:val="27"/>
    <w:semiHidden/>
    <w:unhideWhenUsed/>
    <w:qFormat/>
    <w:uiPriority w:val="99"/>
    <w:rPr>
      <w:b/>
      <w:bCs/>
    </w:rPr>
  </w:style>
  <w:style w:type="paragraph" w:styleId="18">
    <w:name w:val="Body Text First Indent 2"/>
    <w:basedOn w:val="10"/>
    <w:qFormat/>
    <w:uiPriority w:val="0"/>
    <w:pPr>
      <w:ind w:firstLine="420"/>
    </w:p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unhideWhenUsed/>
    <w:qFormat/>
    <w:uiPriority w:val="99"/>
    <w:rPr>
      <w:color w:val="0563C1" w:themeColor="hyperlink"/>
      <w:u w:val="single"/>
      <w14:textFill>
        <w14:solidFill>
          <w14:schemeClr w14:val="hlink"/>
        </w14:solidFill>
      </w14:textFill>
    </w:rPr>
  </w:style>
  <w:style w:type="character" w:styleId="23">
    <w:name w:val="annotation reference"/>
    <w:basedOn w:val="21"/>
    <w:unhideWhenUsed/>
    <w:qFormat/>
    <w:uiPriority w:val="99"/>
    <w:rPr>
      <w:sz w:val="21"/>
      <w:szCs w:val="21"/>
    </w:rPr>
  </w:style>
  <w:style w:type="character" w:customStyle="1" w:styleId="24">
    <w:name w:val="页眉 Char"/>
    <w:basedOn w:val="21"/>
    <w:link w:val="13"/>
    <w:qFormat/>
    <w:uiPriority w:val="99"/>
    <w:rPr>
      <w:sz w:val="18"/>
      <w:szCs w:val="18"/>
    </w:rPr>
  </w:style>
  <w:style w:type="character" w:customStyle="1" w:styleId="25">
    <w:name w:val="页脚 Char"/>
    <w:basedOn w:val="21"/>
    <w:link w:val="12"/>
    <w:qFormat/>
    <w:uiPriority w:val="99"/>
    <w:rPr>
      <w:sz w:val="18"/>
      <w:szCs w:val="18"/>
    </w:rPr>
  </w:style>
  <w:style w:type="character" w:customStyle="1" w:styleId="26">
    <w:name w:val="批注文字 Char"/>
    <w:basedOn w:val="21"/>
    <w:link w:val="9"/>
    <w:qFormat/>
    <w:uiPriority w:val="99"/>
    <w:rPr>
      <w:rFonts w:ascii="Times New Roman" w:hAnsi="Times New Roman" w:eastAsia="Courier New" w:cs="Times New Roman"/>
      <w:szCs w:val="21"/>
    </w:rPr>
  </w:style>
  <w:style w:type="character" w:customStyle="1" w:styleId="27">
    <w:name w:val="批注主题 Char"/>
    <w:basedOn w:val="26"/>
    <w:link w:val="17"/>
    <w:semiHidden/>
    <w:qFormat/>
    <w:uiPriority w:val="99"/>
    <w:rPr>
      <w:rFonts w:ascii="Times New Roman" w:hAnsi="Times New Roman" w:eastAsia="Courier New" w:cs="Times New Roman"/>
      <w:b/>
      <w:bCs/>
      <w:szCs w:val="21"/>
    </w:rPr>
  </w:style>
  <w:style w:type="paragraph" w:customStyle="1" w:styleId="28">
    <w:name w:val="独立格式"/>
    <w:basedOn w:val="15"/>
    <w:qFormat/>
    <w:uiPriority w:val="1"/>
    <w:pPr>
      <w:spacing w:before="0" w:after="0" w:line="360" w:lineRule="auto"/>
      <w:outlineLvl w:val="9"/>
    </w:pPr>
    <w:rPr>
      <w:rFonts w:ascii="Times New Roman" w:hAnsi="Times New Roman" w:eastAsia="Tms Rmn" w:cs="Times New Roman"/>
      <w:b w:val="0"/>
      <w:bCs w:val="0"/>
      <w:kern w:val="2"/>
      <w:szCs w:val="52"/>
    </w:rPr>
  </w:style>
  <w:style w:type="character" w:customStyle="1" w:styleId="29">
    <w:name w:val="副标题 Char"/>
    <w:basedOn w:val="21"/>
    <w:link w:val="15"/>
    <w:qFormat/>
    <w:uiPriority w:val="11"/>
    <w:rPr>
      <w:b/>
      <w:bCs/>
      <w:kern w:val="28"/>
      <w:sz w:val="32"/>
      <w:szCs w:val="32"/>
    </w:rPr>
  </w:style>
  <w:style w:type="character" w:customStyle="1" w:styleId="30">
    <w:name w:val="标题 2 Char"/>
    <w:basedOn w:val="21"/>
    <w:link w:val="3"/>
    <w:qFormat/>
    <w:uiPriority w:val="9"/>
    <w:rPr>
      <w:rFonts w:ascii="Arial" w:hAnsi="Arial" w:eastAsia="Symbol" w:cs="Times New Roman"/>
      <w:b/>
      <w:bCs/>
      <w:sz w:val="32"/>
      <w:szCs w:val="32"/>
    </w:rPr>
  </w:style>
  <w:style w:type="paragraph" w:customStyle="1" w:styleId="31">
    <w:name w:val="表格名称"/>
    <w:basedOn w:val="1"/>
    <w:qFormat/>
    <w:uiPriority w:val="0"/>
    <w:pPr>
      <w:spacing w:line="360" w:lineRule="auto"/>
      <w:jc w:val="center"/>
    </w:pPr>
    <w:rPr>
      <w:rFonts w:eastAsia="Helv" w:cs="New York"/>
      <w:b/>
      <w:sz w:val="24"/>
      <w:szCs w:val="24"/>
    </w:rPr>
  </w:style>
  <w:style w:type="paragraph" w:customStyle="1" w:styleId="32">
    <w:name w:val="表格文字"/>
    <w:basedOn w:val="28"/>
    <w:next w:val="1"/>
    <w:qFormat/>
    <w:uiPriority w:val="0"/>
    <w:pPr>
      <w:spacing w:line="360" w:lineRule="exact"/>
    </w:pPr>
    <w:rPr>
      <w:rFonts w:eastAsia="Helv" w:cs="New York"/>
      <w:sz w:val="24"/>
    </w:rPr>
  </w:style>
  <w:style w:type="character" w:customStyle="1" w:styleId="33">
    <w:name w:val="标题 5 Char"/>
    <w:basedOn w:val="21"/>
    <w:link w:val="6"/>
    <w:semiHidden/>
    <w:qFormat/>
    <w:uiPriority w:val="9"/>
    <w:rPr>
      <w:rFonts w:ascii="Times New Roman" w:hAnsi="Times New Roman" w:eastAsia="Courier New" w:cs="Times New Roman"/>
      <w:b/>
      <w:bCs/>
      <w:sz w:val="28"/>
      <w:szCs w:val="28"/>
    </w:rPr>
  </w:style>
  <w:style w:type="character" w:customStyle="1" w:styleId="34">
    <w:name w:val="正文文本 Char"/>
    <w:basedOn w:val="21"/>
    <w:link w:val="8"/>
    <w:semiHidden/>
    <w:qFormat/>
    <w:uiPriority w:val="99"/>
    <w:rPr>
      <w:rFonts w:ascii="Times New Roman" w:hAnsi="Times New Roman" w:eastAsia="Courier New" w:cs="Times New Roman"/>
      <w:szCs w:val="21"/>
    </w:rPr>
  </w:style>
  <w:style w:type="character" w:customStyle="1" w:styleId="35">
    <w:name w:val="标题 4 Char"/>
    <w:basedOn w:val="21"/>
    <w:link w:val="5"/>
    <w:semiHidden/>
    <w:qFormat/>
    <w:uiPriority w:val="9"/>
    <w:rPr>
      <w:rFonts w:asciiTheme="majorHAnsi" w:hAnsiTheme="majorHAnsi" w:eastAsiaTheme="majorEastAsia" w:cstheme="majorBidi"/>
      <w:b/>
      <w:bCs/>
      <w:sz w:val="28"/>
      <w:szCs w:val="28"/>
    </w:rPr>
  </w:style>
  <w:style w:type="character" w:customStyle="1" w:styleId="36">
    <w:name w:val="批注框文本 Char"/>
    <w:basedOn w:val="21"/>
    <w:link w:val="11"/>
    <w:semiHidden/>
    <w:qFormat/>
    <w:uiPriority w:val="99"/>
    <w:rPr>
      <w:rFonts w:ascii="Times New Roman" w:hAnsi="Times New Roman" w:eastAsia="Courier New" w:cs="Times New Roman"/>
      <w:kern w:val="2"/>
      <w:sz w:val="18"/>
      <w:szCs w:val="18"/>
    </w:rPr>
  </w:style>
  <w:style w:type="table" w:customStyle="1" w:styleId="37">
    <w:name w:val="Table Normal"/>
    <w:semiHidden/>
    <w:unhideWhenUsed/>
    <w:qFormat/>
    <w:uiPriority w:val="2"/>
    <w:tblPr>
      <w:tblCellMar>
        <w:top w:w="0" w:type="dxa"/>
        <w:left w:w="0" w:type="dxa"/>
        <w:bottom w:w="0" w:type="dxa"/>
        <w:right w:w="0" w:type="dxa"/>
      </w:tblCellMar>
    </w:tblPr>
  </w:style>
  <w:style w:type="paragraph" w:styleId="38">
    <w:name w:val="List Paragraph"/>
    <w:basedOn w:val="1"/>
    <w:qFormat/>
    <w:uiPriority w:val="1"/>
    <w:pPr>
      <w:autoSpaceDE w:val="0"/>
      <w:autoSpaceDN w:val="0"/>
      <w:ind w:left="109" w:right="99" w:firstLine="641"/>
      <w:jc w:val="left"/>
    </w:pPr>
    <w:rPr>
      <w:rFonts w:ascii="Arial Unicode MS" w:hAnsi="Arial Unicode MS" w:eastAsia="Arial Unicode MS" w:cs="Arial Unicode MS"/>
      <w:kern w:val="0"/>
      <w:sz w:val="22"/>
      <w:szCs w:val="22"/>
      <w:lang w:eastAsia="en-US"/>
    </w:rPr>
  </w:style>
  <w:style w:type="paragraph" w:customStyle="1" w:styleId="39">
    <w:name w:val="Table Paragraph"/>
    <w:basedOn w:val="1"/>
    <w:qFormat/>
    <w:uiPriority w:val="1"/>
    <w:pPr>
      <w:autoSpaceDE w:val="0"/>
      <w:autoSpaceDN w:val="0"/>
      <w:jc w:val="left"/>
    </w:pPr>
    <w:rPr>
      <w:rFonts w:ascii="宋体" w:hAnsi="宋体" w:eastAsia="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2425"/>
          <c:y val="0.17265"/>
          <c:w val="0.50215"/>
          <c:h val="0.669533333333333"/>
        </c:manualLayout>
      </c:layout>
      <c:pieChart>
        <c:varyColors val="1"/>
        <c:ser>
          <c:idx val="0"/>
          <c:order val="0"/>
          <c:tx>
            <c:strRef>
              <c:f>Sheet1!$B$1</c:f>
              <c:strCache>
                <c:ptCount val="1"/>
                <c:pt idx="0">
                  <c:v>预算收入</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122347717525209"/>
                  <c:y val="-0.048811033929982"/>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936267237081435"/>
                  <c:y val="-0.035130879270588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本年度一般公共预算收入</c:v>
                </c:pt>
                <c:pt idx="1">
                  <c:v>本年度事业收入</c:v>
                </c:pt>
                <c:pt idx="2">
                  <c:v>上年结转结余一般公共预算收入</c:v>
                </c:pt>
              </c:strCache>
            </c:strRef>
          </c:cat>
          <c:val>
            <c:numRef>
              <c:f>Sheet1!$B$2:$B$4</c:f>
              <c:numCache>
                <c:formatCode>General</c:formatCode>
                <c:ptCount val="3"/>
                <c:pt idx="0">
                  <c:v>10000</c:v>
                </c:pt>
                <c:pt idx="1">
                  <c:v>0</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8097aa7-cd01-41a4-8495-497ad334251a}"/>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预算支出</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Lbl>
              <c:idx val="0"/>
              <c:layout>
                <c:manualLayout>
                  <c:x val="-0.0601847829673869"/>
                  <c:y val="-0.142669427097137"/>
                </c:manualLayout>
              </c:layout>
              <c:dLblPos val="bestFit"/>
              <c:showLegendKey val="0"/>
              <c:showVal val="1"/>
              <c:showCatName val="1"/>
              <c:showSerName val="0"/>
              <c:showPercent val="0"/>
              <c:showBubbleSize val="0"/>
              <c:extLst>
                <c:ext xmlns:c15="http://schemas.microsoft.com/office/drawing/2012/chart" uri="{CE6537A1-D6FC-4f65-9D91-7224C49458BB}">
                  <c15:layout>
                    <c:manualLayout>
                      <c:w val="0.151625"/>
                      <c:h val="0.16591086786552"/>
                    </c:manualLayout>
                  </c15:layout>
                </c:ext>
              </c:extLst>
            </c:dLbl>
            <c:dLbl>
              <c:idx val="1"/>
              <c:layout>
                <c:manualLayout>
                  <c:x val="-0.120208870127343"/>
                  <c:y val="0"/>
                </c:manualLayout>
              </c:layout>
              <c:dLblPos val="bestFit"/>
              <c:showLegendKey val="0"/>
              <c:showVal val="1"/>
              <c:showCatName val="1"/>
              <c:showSerName val="0"/>
              <c:showPercent val="0"/>
              <c:showBubbleSize val="0"/>
              <c:extLst>
                <c:ext xmlns:c15="http://schemas.microsoft.com/office/drawing/2012/chart" uri="{CE6537A1-D6FC-4f65-9D91-7224C49458BB}">
                  <c15:layout>
                    <c:manualLayout>
                      <c:w val="0.301"/>
                      <c:h val="0.0659890539483972"/>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0</c:v>
                </c:pt>
                <c:pt idx="1">
                  <c:v>10000</c:v>
                </c:pt>
              </c:numCache>
            </c:numRef>
          </c:val>
        </c:ser>
        <c:dLbls>
          <c:showLegendKey val="0"/>
          <c:showVal val="1"/>
          <c:showCatName val="0"/>
          <c:showSerName val="0"/>
          <c:showPercent val="0"/>
          <c:showBubbleSize val="0"/>
          <c:showLeaderLines val="1"/>
        </c:dLbls>
        <c:firstSliceAng val="0"/>
      </c:pieChart>
      <c:spPr>
        <a:noFill/>
        <a:ln>
          <a:noFill/>
        </a:ln>
        <a:effectLst/>
      </c:spPr>
    </c:plotArea>
    <c:plotVisOnly val="1"/>
    <c:dispBlanksAs val="gap"/>
    <c:showDLblsOverMax val="0"/>
    <c:extLst>
      <c:ext uri="{0b15fc19-7d7d-44ad-8c2d-2c3a37ce22c3}">
        <chartProps xmlns="https://web.wps.cn/et/2018/main" chartId="{777fd88b-f379-4124-bc51-dde72bbe990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3988</Words>
  <Characters>4227</Characters>
  <Lines>246</Lines>
  <Paragraphs>69</Paragraphs>
  <TotalTime>1296</TotalTime>
  <ScaleCrop>false</ScaleCrop>
  <LinksUpToDate>false</LinksUpToDate>
  <CharactersWithSpaces>4319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2021-11-01T08:43:00Z</dcterms:created>
  <dc:creator>Richard Meng</dc:creator>
  <cp:lastModifiedBy>吴皆明</cp:lastModifiedBy>
  <cp:lastPrinted>2023-01-16T08:04:00Z</cp:lastPrinted>
  <dcterms:modified xsi:type="dcterms:W3CDTF">2026-03-10T03:12:45Z</dcterms:modified>
  <cp:revision>1199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8A3FD74F996141C1B3942F72A860666A_13</vt:lpwstr>
  </property>
  <property fmtid="{D5CDD505-2E9C-101B-9397-08002B2CF9AE}" pid="4" name="KSOTemplateDocerSaveRecord">
    <vt:lpwstr>eyJoZGlkIjoiMDNmNTI4Nzc5MDlhMDJlMGUxYmRlNjQ2ZTA5OGIzNTIiLCJ1c2VySWQiOiIyNDA2NTg1NDkifQ==</vt:lpwstr>
  </property>
</Properties>
</file>