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86B6F">
      <w:pPr>
        <w:spacing w:line="600" w:lineRule="exact"/>
        <w:jc w:val="left"/>
        <w:rPr>
          <w:rFonts w:ascii="Arial" w:hAnsi="Arial" w:eastAsia="Symbol"/>
          <w:b/>
          <w:bCs/>
          <w:sz w:val="32"/>
          <w:szCs w:val="32"/>
          <w:highlight w:val="none"/>
        </w:rPr>
      </w:pPr>
    </w:p>
    <w:p w14:paraId="5223F9AD">
      <w:pPr>
        <w:pStyle w:val="18"/>
        <w:rPr>
          <w:rFonts w:hint="default"/>
          <w:highlight w:val="none"/>
        </w:rPr>
      </w:pPr>
    </w:p>
    <w:p w14:paraId="549279CB">
      <w:pPr>
        <w:spacing w:line="600" w:lineRule="exact"/>
        <w:jc w:val="center"/>
        <w:rPr>
          <w:rFonts w:ascii="Arial" w:hAnsi="Arial" w:eastAsia="宋体"/>
          <w:b/>
          <w:bCs/>
          <w:sz w:val="32"/>
          <w:szCs w:val="32"/>
          <w:highlight w:val="none"/>
        </w:rPr>
      </w:pPr>
    </w:p>
    <w:p w14:paraId="110CB0E2">
      <w:pPr>
        <w:spacing w:line="600" w:lineRule="exact"/>
        <w:jc w:val="center"/>
        <w:rPr>
          <w:rFonts w:ascii="Arial" w:hAnsi="Arial" w:eastAsia="宋体"/>
          <w:b/>
          <w:bCs/>
          <w:sz w:val="32"/>
          <w:szCs w:val="32"/>
          <w:highlight w:val="none"/>
        </w:rPr>
      </w:pPr>
    </w:p>
    <w:p w14:paraId="4FB8BFB1">
      <w:pPr>
        <w:spacing w:line="600" w:lineRule="exact"/>
        <w:jc w:val="center"/>
        <w:rPr>
          <w:rFonts w:ascii="Arial" w:hAnsi="Arial" w:eastAsia="宋体"/>
          <w:b/>
          <w:bCs/>
          <w:sz w:val="32"/>
          <w:szCs w:val="32"/>
          <w:highlight w:val="none"/>
        </w:rPr>
      </w:pPr>
    </w:p>
    <w:p w14:paraId="050B242D">
      <w:pPr>
        <w:spacing w:line="600" w:lineRule="exact"/>
        <w:jc w:val="center"/>
        <w:rPr>
          <w:rFonts w:hint="eastAsia" w:ascii="方正小标宋_GBK" w:hAnsi="方正小标宋_GBK" w:eastAsia="方正小标宋_GBK" w:cs="方正小标宋_GBK"/>
          <w:b w:val="0"/>
          <w:bCs w:val="0"/>
          <w:sz w:val="44"/>
          <w:szCs w:val="44"/>
          <w:highlight w:val="none"/>
          <w:lang w:val="en-US" w:eastAsia="zh-CN"/>
        </w:rPr>
      </w:pPr>
      <w:r>
        <w:rPr>
          <w:rFonts w:hint="eastAsia" w:ascii="方正小标宋_GBK" w:hAnsi="方正小标宋_GBK" w:eastAsia="方正小标宋_GBK" w:cs="方正小标宋_GBK"/>
          <w:sz w:val="44"/>
          <w:szCs w:val="44"/>
          <w:highlight w:val="none"/>
          <w:lang w:val="en-US" w:eastAsia="zh-CN"/>
        </w:rPr>
        <w:t>2025</w:t>
      </w:r>
      <w:r>
        <w:rPr>
          <w:rFonts w:hint="eastAsia" w:ascii="方正小标宋_GBK" w:hAnsi="方正小标宋_GBK" w:eastAsia="方正小标宋_GBK" w:cs="方正小标宋_GBK"/>
          <w:sz w:val="44"/>
          <w:szCs w:val="44"/>
          <w:highlight w:val="none"/>
        </w:rPr>
        <w:t>年度</w:t>
      </w:r>
      <w:r>
        <w:rPr>
          <w:rFonts w:hint="eastAsia" w:ascii="方正小标宋_GBK" w:hAnsi="方正小标宋_GBK" w:eastAsia="方正小标宋_GBK" w:cs="方正小标宋_GBK"/>
          <w:b w:val="0"/>
          <w:bCs w:val="0"/>
          <w:sz w:val="44"/>
          <w:szCs w:val="44"/>
          <w:highlight w:val="none"/>
          <w:lang w:val="en-US" w:eastAsia="zh-CN"/>
        </w:rPr>
        <w:t>内蒙古自治区中蒙医药研究院</w:t>
      </w:r>
    </w:p>
    <w:p w14:paraId="495A8D6F">
      <w:pPr>
        <w:spacing w:line="600" w:lineRule="exact"/>
        <w:jc w:val="center"/>
        <w:rPr>
          <w:rFonts w:hint="eastAsia"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预算公开</w:t>
      </w:r>
    </w:p>
    <w:p w14:paraId="55EEF5B2">
      <w:pPr>
        <w:adjustRightInd w:val="0"/>
        <w:snapToGrid w:val="0"/>
        <w:spacing w:line="600" w:lineRule="exact"/>
        <w:ind w:firstLine="640"/>
        <w:rPr>
          <w:rFonts w:ascii="Times New Roman" w:hAnsi="Times New Roman" w:eastAsia="仿宋_GB2312"/>
          <w:sz w:val="32"/>
          <w:szCs w:val="32"/>
          <w:highlight w:val="none"/>
        </w:rPr>
      </w:pPr>
    </w:p>
    <w:p w14:paraId="0CDEABB7">
      <w:pPr>
        <w:adjustRightInd w:val="0"/>
        <w:snapToGrid w:val="0"/>
        <w:spacing w:line="600" w:lineRule="exact"/>
        <w:ind w:firstLine="640"/>
        <w:rPr>
          <w:rFonts w:ascii="Times New Roman" w:hAnsi="Times New Roman" w:eastAsia="仿宋_GB2312"/>
          <w:sz w:val="32"/>
          <w:szCs w:val="32"/>
          <w:highlight w:val="none"/>
        </w:rPr>
      </w:pPr>
    </w:p>
    <w:p w14:paraId="4C46D4D9">
      <w:pPr>
        <w:adjustRightInd w:val="0"/>
        <w:snapToGrid w:val="0"/>
        <w:spacing w:line="600" w:lineRule="exact"/>
        <w:ind w:firstLine="640"/>
        <w:rPr>
          <w:rFonts w:ascii="Times New Roman" w:hAnsi="Times New Roman" w:eastAsia="仿宋_GB2312"/>
          <w:sz w:val="32"/>
          <w:szCs w:val="32"/>
          <w:highlight w:val="none"/>
        </w:rPr>
      </w:pPr>
    </w:p>
    <w:p w14:paraId="4BE0D876">
      <w:pPr>
        <w:adjustRightInd w:val="0"/>
        <w:snapToGrid w:val="0"/>
        <w:spacing w:line="600" w:lineRule="exact"/>
        <w:ind w:firstLine="640"/>
        <w:rPr>
          <w:rFonts w:ascii="Times New Roman" w:hAnsi="Times New Roman" w:eastAsia="仿宋_GB2312"/>
          <w:sz w:val="32"/>
          <w:szCs w:val="32"/>
          <w:highlight w:val="none"/>
        </w:rPr>
      </w:pPr>
    </w:p>
    <w:p w14:paraId="3DE95F5C">
      <w:pPr>
        <w:adjustRightInd w:val="0"/>
        <w:snapToGrid w:val="0"/>
        <w:spacing w:line="600" w:lineRule="exact"/>
        <w:ind w:firstLine="640"/>
        <w:rPr>
          <w:rFonts w:ascii="Times New Roman" w:hAnsi="Times New Roman" w:eastAsia="仿宋_GB2312"/>
          <w:sz w:val="32"/>
          <w:szCs w:val="32"/>
          <w:highlight w:val="none"/>
        </w:rPr>
      </w:pPr>
    </w:p>
    <w:p w14:paraId="25C895E3">
      <w:pPr>
        <w:adjustRightInd w:val="0"/>
        <w:snapToGrid w:val="0"/>
        <w:spacing w:line="600" w:lineRule="exact"/>
        <w:ind w:firstLine="640"/>
        <w:rPr>
          <w:rFonts w:ascii="Times New Roman" w:hAnsi="Times New Roman" w:eastAsia="仿宋_GB2312"/>
          <w:sz w:val="32"/>
          <w:szCs w:val="32"/>
          <w:highlight w:val="none"/>
        </w:rPr>
      </w:pPr>
    </w:p>
    <w:p w14:paraId="2C44AA46">
      <w:pPr>
        <w:adjustRightInd w:val="0"/>
        <w:snapToGrid w:val="0"/>
        <w:spacing w:line="600" w:lineRule="exact"/>
        <w:ind w:firstLine="640"/>
        <w:rPr>
          <w:rFonts w:ascii="Times New Roman" w:hAnsi="Times New Roman" w:eastAsia="仿宋_GB2312"/>
          <w:sz w:val="32"/>
          <w:szCs w:val="32"/>
          <w:highlight w:val="none"/>
        </w:rPr>
      </w:pPr>
    </w:p>
    <w:p w14:paraId="76D5262F">
      <w:pPr>
        <w:adjustRightInd w:val="0"/>
        <w:snapToGrid w:val="0"/>
        <w:spacing w:line="600" w:lineRule="exact"/>
        <w:ind w:firstLine="640"/>
        <w:rPr>
          <w:rFonts w:ascii="Times New Roman" w:hAnsi="Times New Roman" w:eastAsia="仿宋_GB2312"/>
          <w:sz w:val="32"/>
          <w:szCs w:val="32"/>
          <w:highlight w:val="none"/>
        </w:rPr>
      </w:pPr>
    </w:p>
    <w:p w14:paraId="11DED7F9">
      <w:pPr>
        <w:adjustRightInd w:val="0"/>
        <w:snapToGrid w:val="0"/>
        <w:spacing w:line="600" w:lineRule="exact"/>
        <w:ind w:firstLine="640"/>
        <w:rPr>
          <w:rFonts w:ascii="Times New Roman" w:hAnsi="Times New Roman" w:eastAsia="仿宋_GB2312"/>
          <w:sz w:val="32"/>
          <w:szCs w:val="32"/>
          <w:highlight w:val="none"/>
        </w:rPr>
      </w:pPr>
    </w:p>
    <w:p w14:paraId="73BD0D1C">
      <w:pPr>
        <w:pStyle w:val="18"/>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ascii="黑体" w:hAnsi="黑体" w:eastAsia="黑体" w:cs="黑体"/>
          <w:sz w:val="32"/>
          <w:szCs w:val="32"/>
          <w:highlight w:val="none"/>
          <w:u w:val="single"/>
        </w:rPr>
        <w:t xml:space="preserve"> </w:t>
      </w:r>
      <w:r>
        <w:rPr>
          <w:rFonts w:hint="eastAsia" w:ascii="黑体" w:hAnsi="黑体" w:eastAsia="黑体" w:cs="黑体"/>
          <w:sz w:val="32"/>
          <w:szCs w:val="32"/>
          <w:highlight w:val="none"/>
          <w:u w:val="single"/>
          <w:lang w:val="en-US" w:eastAsia="zh-CN"/>
        </w:rPr>
        <w:t>2025</w:t>
      </w:r>
      <w:r>
        <w:rPr>
          <w:rFonts w:ascii="黑体" w:hAnsi="黑体" w:eastAsia="黑体" w:cs="黑体"/>
          <w:sz w:val="32"/>
          <w:szCs w:val="32"/>
          <w:highlight w:val="none"/>
          <w:u w:val="single"/>
        </w:rPr>
        <w:t xml:space="preserve">年 </w:t>
      </w:r>
      <w:r>
        <w:rPr>
          <w:rFonts w:hint="eastAsia" w:ascii="黑体" w:hAnsi="黑体" w:eastAsia="黑体" w:cs="黑体"/>
          <w:sz w:val="32"/>
          <w:szCs w:val="32"/>
          <w:highlight w:val="none"/>
          <w:u w:val="single"/>
          <w:lang w:val="en-US" w:eastAsia="zh-CN"/>
        </w:rPr>
        <w:t>1</w:t>
      </w:r>
      <w:r>
        <w:rPr>
          <w:rFonts w:ascii="黑体" w:hAnsi="黑体" w:eastAsia="黑体" w:cs="黑体"/>
          <w:sz w:val="32"/>
          <w:szCs w:val="32"/>
          <w:highlight w:val="none"/>
          <w:u w:val="single"/>
        </w:rPr>
        <w:t xml:space="preserve">月 </w:t>
      </w:r>
      <w:r>
        <w:rPr>
          <w:rFonts w:hint="eastAsia" w:ascii="黑体" w:hAnsi="黑体" w:eastAsia="黑体" w:cs="黑体"/>
          <w:sz w:val="32"/>
          <w:szCs w:val="32"/>
          <w:highlight w:val="none"/>
          <w:u w:val="single"/>
          <w:lang w:val="en-US" w:eastAsia="zh-CN"/>
        </w:rPr>
        <w:t>27</w:t>
      </w:r>
      <w:r>
        <w:rPr>
          <w:rFonts w:ascii="黑体" w:hAnsi="黑体" w:eastAsia="黑体" w:cs="黑体"/>
          <w:sz w:val="32"/>
          <w:szCs w:val="32"/>
          <w:highlight w:val="none"/>
          <w:u w:val="single"/>
        </w:rPr>
        <w:t>日</w:t>
      </w:r>
    </w:p>
    <w:p w14:paraId="79CD16CF">
      <w:pPr>
        <w:pStyle w:val="18"/>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ascii="黑体" w:hAnsi="黑体" w:eastAsia="黑体" w:cs="黑体"/>
          <w:sz w:val="32"/>
          <w:szCs w:val="32"/>
          <w:highlight w:val="none"/>
          <w:u w:val="single"/>
        </w:rPr>
        <w:t xml:space="preserve"> </w:t>
      </w:r>
      <w:r>
        <w:rPr>
          <w:rFonts w:hint="eastAsia" w:ascii="黑体" w:hAnsi="黑体" w:eastAsia="黑体" w:cs="黑体"/>
          <w:sz w:val="32"/>
          <w:szCs w:val="32"/>
          <w:highlight w:val="none"/>
          <w:u w:val="single"/>
          <w:lang w:val="en-US" w:eastAsia="zh-CN"/>
        </w:rPr>
        <w:t>2025</w:t>
      </w:r>
      <w:r>
        <w:rPr>
          <w:rFonts w:ascii="黑体" w:hAnsi="黑体" w:eastAsia="黑体" w:cs="黑体"/>
          <w:sz w:val="32"/>
          <w:szCs w:val="32"/>
          <w:highlight w:val="none"/>
          <w:u w:val="single"/>
        </w:rPr>
        <w:t xml:space="preserve">年 </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 xml:space="preserve">月 </w:t>
      </w:r>
      <w:r>
        <w:rPr>
          <w:rFonts w:hint="eastAsia" w:ascii="黑体" w:hAnsi="黑体" w:eastAsia="黑体" w:cs="黑体"/>
          <w:sz w:val="32"/>
          <w:szCs w:val="32"/>
          <w:highlight w:val="none"/>
          <w:u w:val="single"/>
          <w:lang w:val="en-US" w:eastAsia="zh-CN"/>
        </w:rPr>
        <w:t>14</w:t>
      </w:r>
      <w:r>
        <w:rPr>
          <w:rFonts w:ascii="黑体" w:hAnsi="黑体" w:eastAsia="黑体" w:cs="黑体"/>
          <w:sz w:val="32"/>
          <w:szCs w:val="32"/>
          <w:highlight w:val="none"/>
          <w:u w:val="single"/>
        </w:rPr>
        <w:t>日</w:t>
      </w:r>
    </w:p>
    <w:p w14:paraId="59EB97B6">
      <w:pPr>
        <w:adjustRightInd w:val="0"/>
        <w:snapToGrid w:val="0"/>
        <w:spacing w:line="600" w:lineRule="exact"/>
        <w:ind w:firstLine="640"/>
        <w:rPr>
          <w:rFonts w:ascii="Times New Roman" w:hAnsi="Times New Roman" w:eastAsia="仿宋_GB2312"/>
          <w:sz w:val="32"/>
          <w:szCs w:val="32"/>
          <w:highlight w:val="none"/>
        </w:rPr>
      </w:pPr>
    </w:p>
    <w:p w14:paraId="225DDA1A">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rPr>
        <w:t xml:space="preserve">  </w:t>
      </w:r>
      <w:r>
        <w:rPr>
          <w:rFonts w:hint="eastAsia"/>
          <w:sz w:val="44"/>
          <w:szCs w:val="44"/>
          <w:highlight w:val="none"/>
        </w:rPr>
        <w:t xml:space="preserve">  </w:t>
      </w:r>
      <w:r>
        <w:rPr>
          <w:sz w:val="44"/>
          <w:szCs w:val="44"/>
          <w:highlight w:val="none"/>
        </w:rPr>
        <w:t>录</w:t>
      </w:r>
    </w:p>
    <w:p w14:paraId="0B082A65">
      <w:pPr>
        <w:rPr>
          <w:highlight w:val="none"/>
        </w:rPr>
      </w:pPr>
    </w:p>
    <w:p w14:paraId="5D9A3CFF">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 部门（单位）概况</w:t>
      </w:r>
    </w:p>
    <w:p w14:paraId="7B887465">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14:paraId="22B8AD2E">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二、部门（单位）机构设置及预算单位构成情况</w:t>
      </w:r>
    </w:p>
    <w:p w14:paraId="318D0A7B">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ascii="仿宋_GB2312" w:hAnsi="仿宋_GB2312" w:eastAsia="仿宋_GB2312" w:cs="仿宋"/>
          <w:sz w:val="32"/>
          <w:szCs w:val="32"/>
          <w:highlight w:val="none"/>
          <w:lang w:val="en-US" w:eastAsia="zh-CN"/>
        </w:rPr>
        <w:t>内蒙古自治区中蒙医药研究院</w:t>
      </w:r>
      <w:r>
        <w:rPr>
          <w:rFonts w:hint="eastAsia" w:ascii="Times New Roman" w:hAnsi="Times New Roman" w:eastAsia="仿宋_GB2312" w:cs="仿宋"/>
          <w:sz w:val="32"/>
          <w:szCs w:val="32"/>
          <w:highlight w:val="none"/>
        </w:rPr>
        <w:t>主要工作任务及目标</w:t>
      </w:r>
    </w:p>
    <w:p w14:paraId="50302C36">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第二部分 </w:t>
      </w:r>
      <w:r>
        <w:rPr>
          <w:rFonts w:hint="eastAsia" w:ascii="黑体" w:hAnsi="黑体" w:eastAsia="黑体" w:cs="黑体"/>
          <w:sz w:val="32"/>
          <w:szCs w:val="32"/>
          <w:highlight w:val="none"/>
          <w:lang w:val="en-US" w:eastAsia="zh-CN"/>
        </w:rPr>
        <w:t>内蒙古自治区中蒙医药研究院</w:t>
      </w:r>
      <w:r>
        <w:rPr>
          <w:rFonts w:hint="eastAsia" w:ascii="黑体" w:hAnsi="黑体" w:eastAsia="黑体" w:cs="黑体"/>
          <w:sz w:val="32"/>
          <w:szCs w:val="32"/>
          <w:highlight w:val="none"/>
        </w:rPr>
        <w:t>预算情况说明</w:t>
      </w:r>
    </w:p>
    <w:p w14:paraId="5E241EC1">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一、收支预算总体情况说明</w:t>
      </w:r>
    </w:p>
    <w:p w14:paraId="4913B5B8">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二、收入预算情况说明</w:t>
      </w:r>
    </w:p>
    <w:p w14:paraId="74BE2D5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三、支出预算情况说明</w:t>
      </w:r>
    </w:p>
    <w:p w14:paraId="5912FA5E">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14:paraId="5AC9F94C">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14:paraId="1F708374">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14:paraId="4D90C204">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14:paraId="07EFFF92">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14:paraId="5223A3D8">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14:paraId="452E69C9">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14:paraId="19F094B5">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w:t>
      </w:r>
      <w:r>
        <w:rPr>
          <w:rFonts w:hint="eastAsia" w:ascii="Times New Roman" w:hAnsi="Times New Roman" w:eastAsia="仿宋_GB2312" w:cs="仿宋"/>
          <w:sz w:val="32"/>
          <w:szCs w:val="32"/>
          <w:highlight w:val="none"/>
          <w:lang w:val="en-US" w:eastAsia="zh-CN"/>
        </w:rPr>
        <w:t>机构</w:t>
      </w:r>
      <w:r>
        <w:rPr>
          <w:rFonts w:hint="eastAsia" w:ascii="Times New Roman" w:hAnsi="Times New Roman" w:eastAsia="仿宋_GB2312" w:cs="仿宋"/>
          <w:sz w:val="32"/>
          <w:szCs w:val="32"/>
          <w:highlight w:val="none"/>
        </w:rPr>
        <w:t>运行经费支出预算情况说明</w:t>
      </w:r>
    </w:p>
    <w:p w14:paraId="1146B27B">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十二、政府采购支出预算情况说明</w:t>
      </w:r>
    </w:p>
    <w:p w14:paraId="749D129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十三、国有资产占用情况说明</w:t>
      </w:r>
    </w:p>
    <w:p w14:paraId="3A8341D8">
      <w:pPr>
        <w:widowControl/>
        <w:spacing w:line="600" w:lineRule="exact"/>
        <w:jc w:val="lef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 xml:space="preserve">十四、项目绩效目标情况说明 </w:t>
      </w:r>
    </w:p>
    <w:p w14:paraId="24357E3E">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14:paraId="1F190B22">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第四部分 预算公开联系方式及信息反馈渠道</w:t>
      </w:r>
    </w:p>
    <w:p w14:paraId="04634CCD">
      <w:pPr>
        <w:pStyle w:val="8"/>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第五部分 </w:t>
      </w:r>
      <w:r>
        <w:rPr>
          <w:rFonts w:hint="eastAsia" w:ascii="黑体" w:hAnsi="黑体" w:eastAsia="黑体" w:cs="黑体"/>
          <w:sz w:val="32"/>
          <w:szCs w:val="32"/>
          <w:highlight w:val="none"/>
          <w:lang w:val="en-US" w:eastAsia="zh-CN"/>
        </w:rPr>
        <w:t>内蒙古自治区中蒙医药研究院</w:t>
      </w:r>
      <w:r>
        <w:rPr>
          <w:rFonts w:hint="eastAsia" w:ascii="黑体" w:hAnsi="黑体" w:eastAsia="黑体" w:cs="黑体"/>
          <w:sz w:val="32"/>
          <w:szCs w:val="32"/>
          <w:highlight w:val="none"/>
        </w:rPr>
        <w:t>预算表</w:t>
      </w:r>
    </w:p>
    <w:p w14:paraId="221972AE">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一、收支总表</w:t>
      </w:r>
    </w:p>
    <w:p w14:paraId="58106F22">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二、收入总表</w:t>
      </w:r>
    </w:p>
    <w:p w14:paraId="1EC46A85">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三、支出总表</w:t>
      </w:r>
    </w:p>
    <w:p w14:paraId="799A2765">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四、财政拨款收支总表</w:t>
      </w:r>
    </w:p>
    <w:p w14:paraId="7D77084E">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五、一般公共预算支出表</w:t>
      </w:r>
    </w:p>
    <w:p w14:paraId="358BF5DA">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六、一般公共预算基本支出表</w:t>
      </w:r>
    </w:p>
    <w:p w14:paraId="33D9BD52">
      <w:pPr>
        <w:pStyle w:val="8"/>
        <w:spacing w:after="0" w:line="600" w:lineRule="exact"/>
        <w:rPr>
          <w:rFonts w:ascii="Times New Roman" w:hAnsi="Times New Roman" w:eastAsia="仿宋_GB2312" w:cs="仿宋"/>
          <w:spacing w:val="-16"/>
          <w:w w:val="95"/>
          <w:sz w:val="32"/>
          <w:szCs w:val="32"/>
          <w:highlight w:val="none"/>
        </w:rPr>
      </w:pPr>
      <w:r>
        <w:rPr>
          <w:rFonts w:hint="eastAsia" w:ascii="Times New Roman" w:hAnsi="Times New Roman" w:eastAsia="仿宋_GB2312" w:cs="仿宋"/>
          <w:spacing w:val="-17"/>
          <w:w w:val="95"/>
          <w:sz w:val="32"/>
          <w:szCs w:val="32"/>
          <w:highlight w:val="none"/>
        </w:rPr>
        <w:t>七、一般公共预算</w:t>
      </w:r>
      <w:r>
        <w:rPr>
          <w:rFonts w:hint="eastAsia" w:ascii="Times New Roman" w:hAnsi="Times New Roman" w:eastAsia="仿宋_GB2312" w:cs="仿宋"/>
          <w:spacing w:val="-8"/>
          <w:w w:val="95"/>
          <w:sz w:val="32"/>
          <w:szCs w:val="32"/>
          <w:highlight w:val="none"/>
        </w:rPr>
        <w:t>“</w:t>
      </w:r>
      <w:r>
        <w:rPr>
          <w:rFonts w:hint="eastAsia" w:ascii="Times New Roman" w:hAnsi="Times New Roman" w:eastAsia="仿宋_GB2312" w:cs="仿宋"/>
          <w:spacing w:val="-15"/>
          <w:w w:val="95"/>
          <w:sz w:val="32"/>
          <w:szCs w:val="32"/>
          <w:highlight w:val="none"/>
        </w:rPr>
        <w:t>三公</w:t>
      </w:r>
      <w:r>
        <w:rPr>
          <w:rFonts w:hint="eastAsia" w:ascii="Times New Roman" w:hAnsi="Times New Roman" w:eastAsia="仿宋_GB2312" w:cs="仿宋"/>
          <w:spacing w:val="-10"/>
          <w:w w:val="95"/>
          <w:sz w:val="32"/>
          <w:szCs w:val="32"/>
          <w:highlight w:val="none"/>
        </w:rPr>
        <w:t>”</w:t>
      </w:r>
      <w:r>
        <w:rPr>
          <w:rFonts w:hint="eastAsia" w:ascii="Times New Roman" w:hAnsi="Times New Roman" w:eastAsia="仿宋_GB2312" w:cs="仿宋"/>
          <w:spacing w:val="-16"/>
          <w:w w:val="95"/>
          <w:sz w:val="32"/>
          <w:szCs w:val="32"/>
          <w:highlight w:val="none"/>
        </w:rPr>
        <w:t>经费支出表</w:t>
      </w:r>
    </w:p>
    <w:p w14:paraId="31ED0E83">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pacing w:val="-16"/>
          <w:w w:val="95"/>
          <w:sz w:val="32"/>
          <w:szCs w:val="32"/>
          <w:highlight w:val="none"/>
        </w:rPr>
        <w:t>八、政府性基金预算支出表</w:t>
      </w:r>
    </w:p>
    <w:p w14:paraId="75CAFDC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14:paraId="4CE0C9B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14:paraId="7540BA7A">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14:paraId="5F580240">
      <w:pPr>
        <w:pStyle w:val="8"/>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十二、政府采购预算表</w:t>
      </w:r>
    </w:p>
    <w:p w14:paraId="3472749E">
      <w:pPr>
        <w:pStyle w:val="18"/>
        <w:rPr>
          <w:rFonts w:hint="default"/>
          <w:highlight w:val="none"/>
        </w:rPr>
      </w:pPr>
    </w:p>
    <w:p w14:paraId="4546495E">
      <w:pPr>
        <w:pStyle w:val="18"/>
        <w:rPr>
          <w:rFonts w:hint="default"/>
          <w:highlight w:val="none"/>
        </w:rPr>
        <w:sectPr>
          <w:headerReference r:id="rId3" w:type="default"/>
          <w:footerReference r:id="rId4" w:type="default"/>
          <w:pgSz w:w="11910" w:h="16840"/>
          <w:pgMar w:top="1582" w:right="1680" w:bottom="278" w:left="1640" w:header="720" w:footer="720" w:gutter="0"/>
          <w:pgNumType w:fmt="numberInDash"/>
          <w:cols w:space="0" w:num="1"/>
        </w:sectPr>
      </w:pPr>
    </w:p>
    <w:p w14:paraId="71BA44E9">
      <w:pPr>
        <w:pStyle w:val="3"/>
        <w:tabs>
          <w:tab w:val="left" w:pos="4392"/>
        </w:tabs>
        <w:adjustRightInd/>
        <w:snapToGrid/>
        <w:spacing w:before="0" w:after="0" w:line="600" w:lineRule="exact"/>
        <w:ind w:firstLine="0" w:firstLineChars="0"/>
        <w:jc w:val="center"/>
        <w:rPr>
          <w:rFonts w:hint="eastAsia" w:ascii="方正小标宋_GBK" w:hAnsi="方正小标宋_GBK" w:eastAsia="方正小标宋_GBK" w:cs="方正小标宋_GBK"/>
          <w:b w:val="0"/>
          <w:bCs w:val="0"/>
          <w:sz w:val="36"/>
          <w:szCs w:val="36"/>
          <w:highlight w:val="none"/>
        </w:rPr>
      </w:pPr>
      <w:bookmarkStart w:id="0" w:name="_Toc30742"/>
      <w:r>
        <w:rPr>
          <w:rFonts w:hint="eastAsia" w:ascii="方正小标宋_GBK" w:hAnsi="方正小标宋_GBK" w:eastAsia="方正小标宋_GBK" w:cs="方正小标宋_GBK"/>
          <w:b w:val="0"/>
          <w:bCs w:val="0"/>
          <w:sz w:val="36"/>
          <w:szCs w:val="36"/>
          <w:highlight w:val="none"/>
        </w:rPr>
        <w:t xml:space="preserve">第一部分  </w:t>
      </w:r>
      <w:r>
        <w:rPr>
          <w:rFonts w:hint="eastAsia" w:ascii="方正小标宋_GBK" w:hAnsi="方正小标宋_GBK" w:eastAsia="方正小标宋_GBK" w:cs="方正小标宋_GBK"/>
          <w:b w:val="0"/>
          <w:bCs w:val="0"/>
          <w:sz w:val="36"/>
          <w:szCs w:val="36"/>
          <w:highlight w:val="none"/>
          <w:lang w:val="en-US" w:eastAsia="zh-CN"/>
        </w:rPr>
        <w:t>内蒙古自治区中蒙医药研究院</w:t>
      </w:r>
      <w:r>
        <w:rPr>
          <w:rFonts w:hint="eastAsia" w:ascii="方正小标宋_GBK" w:hAnsi="方正小标宋_GBK" w:eastAsia="方正小标宋_GBK" w:cs="方正小标宋_GBK"/>
          <w:b w:val="0"/>
          <w:bCs w:val="0"/>
          <w:sz w:val="36"/>
          <w:szCs w:val="36"/>
          <w:highlight w:val="none"/>
        </w:rPr>
        <w:t>概况</w:t>
      </w:r>
      <w:bookmarkEnd w:id="0"/>
    </w:p>
    <w:p w14:paraId="4EC5F495">
      <w:pPr>
        <w:spacing w:line="600" w:lineRule="exact"/>
        <w:rPr>
          <w:rFonts w:ascii="方正小标宋简体" w:hAnsi="方正小标宋简体" w:eastAsia="方正小标宋简体" w:cs="方正小标宋简体"/>
          <w:sz w:val="36"/>
          <w:szCs w:val="36"/>
          <w:highlight w:val="none"/>
        </w:rPr>
      </w:pPr>
    </w:p>
    <w:p w14:paraId="5BE15C30">
      <w:pPr>
        <w:numPr>
          <w:ilvl w:val="0"/>
          <w:numId w:val="0"/>
        </w:numPr>
        <w:spacing w:line="600" w:lineRule="exact"/>
        <w:ind w:left="17" w:leftChars="8" w:firstLine="624" w:firstLineChars="195"/>
        <w:outlineLvl w:val="2"/>
        <w:rPr>
          <w:rFonts w:eastAsia="黑体" w:cs="黑体"/>
          <w:sz w:val="32"/>
          <w:szCs w:val="36"/>
          <w:highlight w:val="none"/>
        </w:rPr>
      </w:pPr>
      <w:r>
        <w:rPr>
          <w:rFonts w:hint="eastAsia" w:ascii="Times New Roman" w:hAnsi="Times New Roman" w:eastAsia="黑体" w:cs="黑体"/>
          <w:kern w:val="2"/>
          <w:sz w:val="32"/>
          <w:szCs w:val="36"/>
          <w:lang w:val="en-US" w:eastAsia="zh-CN" w:bidi="ar-SA"/>
        </w:rPr>
        <w:t>一、</w:t>
      </w:r>
      <w:r>
        <w:rPr>
          <w:rFonts w:hint="eastAsia" w:eastAsia="黑体" w:cs="黑体"/>
          <w:sz w:val="32"/>
          <w:szCs w:val="36"/>
          <w:highlight w:val="none"/>
        </w:rPr>
        <w:t>主要职能职责</w:t>
      </w:r>
    </w:p>
    <w:p w14:paraId="70B0849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楷体_GB2312" w:hAnsi="楷体_GB2312" w:eastAsia="楷体_GB2312" w:cs="楷体_GB2312"/>
          <w:b/>
          <w:bCs/>
          <w:color w:val="000000"/>
          <w:kern w:val="0"/>
          <w:sz w:val="32"/>
          <w:szCs w:val="32"/>
          <w:lang w:val="en-US" w:eastAsia="zh-CN" w:bidi="ar"/>
        </w:rPr>
      </w:pPr>
      <w:r>
        <w:rPr>
          <w:rFonts w:hint="eastAsia" w:ascii="楷体_GB2312" w:hAnsi="楷体_GB2312" w:eastAsia="楷体_GB2312" w:cs="楷体_GB2312"/>
          <w:b/>
          <w:bCs/>
          <w:color w:val="000000"/>
          <w:kern w:val="0"/>
          <w:sz w:val="32"/>
          <w:szCs w:val="32"/>
          <w:lang w:val="en-US" w:eastAsia="zh-CN" w:bidi="ar"/>
        </w:rPr>
        <w:t>（一）单位职能</w:t>
      </w:r>
    </w:p>
    <w:p w14:paraId="111D02A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内蒙古自治区中蒙医药研究院，为内蒙古自治区卫生健康委员会所属相当于正处级公益二类事业单位。</w:t>
      </w:r>
    </w:p>
    <w:p w14:paraId="1B93F78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color w:val="000000"/>
          <w:kern w:val="0"/>
          <w:sz w:val="32"/>
          <w:szCs w:val="32"/>
          <w:lang w:val="en-US" w:eastAsia="zh-CN" w:bidi="ar"/>
        </w:rPr>
      </w:pPr>
      <w:r>
        <w:rPr>
          <w:rFonts w:hint="eastAsia" w:ascii="楷体_GB2312" w:hAnsi="楷体_GB2312" w:eastAsia="楷体_GB2312" w:cs="楷体_GB2312"/>
          <w:b/>
          <w:bCs/>
          <w:color w:val="000000"/>
          <w:kern w:val="0"/>
          <w:sz w:val="32"/>
          <w:szCs w:val="32"/>
          <w:lang w:val="en-US" w:eastAsia="zh-CN" w:bidi="ar"/>
        </w:rPr>
        <w:t>（二）单位主要职责</w:t>
      </w:r>
    </w:p>
    <w:p w14:paraId="019206F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在自治区卫生健康委员会领导下，贯彻党中央关于卫生健康工作的方针政策,落实自治区党委相关决策部署，在履行职责过程中坚持和加强党对卫生健康工作的集中统一领导。主要职责为：</w:t>
      </w:r>
    </w:p>
    <w:p w14:paraId="1F19C5C0">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开展中医蒙医领域医疗卫生服务及临床应用相关工作；</w:t>
      </w:r>
    </w:p>
    <w:p w14:paraId="0CC20D8E">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承担拟定和实施本院研究规划、计划，制定科学研究指南等相关工作；</w:t>
      </w:r>
    </w:p>
    <w:p w14:paraId="680A478D">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开展中药（蒙药）制剂、检验检测、药材种植研究、医药资源及其科研教学等相关工作；</w:t>
      </w:r>
    </w:p>
    <w:p w14:paraId="4DE0C4C2">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承担中医蒙医领域卫生技术人员培训及继续教育相关工作；</w:t>
      </w:r>
    </w:p>
    <w:p w14:paraId="6FC24F90">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承担《中国民族医药杂志》、《内蒙古中医药》、《中国蒙医药》等刊物的编辑出版工作；</w:t>
      </w:r>
    </w:p>
    <w:p w14:paraId="49936502">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承担自治区卫生健康委交办的其他相关工作。</w:t>
      </w:r>
    </w:p>
    <w:p w14:paraId="35913455">
      <w:pPr>
        <w:numPr>
          <w:ilvl w:val="0"/>
          <w:numId w:val="0"/>
        </w:numPr>
        <w:spacing w:line="600" w:lineRule="exact"/>
        <w:ind w:left="17" w:leftChars="8" w:firstLine="624" w:firstLineChars="195"/>
        <w:outlineLvl w:val="2"/>
        <w:rPr>
          <w:rFonts w:eastAsia="黑体" w:cs="黑体"/>
          <w:sz w:val="32"/>
          <w:szCs w:val="36"/>
          <w:highlight w:val="none"/>
        </w:rPr>
      </w:pPr>
      <w:r>
        <w:rPr>
          <w:rFonts w:hint="eastAsia" w:ascii="Times New Roman" w:hAnsi="Times New Roman" w:eastAsia="黑体" w:cs="黑体"/>
          <w:kern w:val="2"/>
          <w:sz w:val="32"/>
          <w:szCs w:val="36"/>
          <w:lang w:val="en-US" w:eastAsia="zh-CN" w:bidi="ar-SA"/>
        </w:rPr>
        <w:t>二、</w:t>
      </w:r>
      <w:r>
        <w:rPr>
          <w:rFonts w:hint="eastAsia" w:eastAsia="黑体" w:cs="黑体"/>
          <w:sz w:val="32"/>
          <w:szCs w:val="36"/>
          <w:highlight w:val="none"/>
          <w:lang w:val="en-US" w:eastAsia="zh-CN"/>
        </w:rPr>
        <w:t>内蒙古自治区中蒙医药研究院</w:t>
      </w:r>
      <w:r>
        <w:rPr>
          <w:rFonts w:hint="eastAsia" w:eastAsia="黑体" w:cs="黑体"/>
          <w:sz w:val="32"/>
          <w:szCs w:val="36"/>
          <w:highlight w:val="none"/>
        </w:rPr>
        <w:t>机构设置及预算单位构成情况</w:t>
      </w:r>
    </w:p>
    <w:p w14:paraId="7BB7FA07">
      <w:pPr>
        <w:spacing w:line="600" w:lineRule="exact"/>
        <w:ind w:firstLine="640" w:firstLineChars="200"/>
        <w:rPr>
          <w:rFonts w:hint="eastAsia" w:eastAsia="仿宋_GB2312" w:cstheme="minorBidi"/>
          <w:sz w:val="32"/>
          <w:szCs w:val="32"/>
          <w:highlight w:val="none"/>
          <w:lang w:eastAsia="zh-CN"/>
        </w:rPr>
      </w:pPr>
      <w:r>
        <w:rPr>
          <w:rFonts w:hint="eastAsia" w:eastAsia="仿宋_GB2312" w:cstheme="minorBidi"/>
          <w:sz w:val="32"/>
          <w:szCs w:val="32"/>
          <w:highlight w:val="none"/>
        </w:rPr>
        <w:t>1．根据</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职责分工，</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内设机构包</w:t>
      </w:r>
      <w:r>
        <w:rPr>
          <w:rFonts w:hint="eastAsia" w:ascii="仿宋_GB2312" w:hAnsi="仿宋_GB2312" w:eastAsia="仿宋_GB2312" w:cs="仿宋_GB2312"/>
          <w:color w:val="000000"/>
          <w:kern w:val="0"/>
          <w:sz w:val="31"/>
          <w:szCs w:val="31"/>
          <w:lang w:val="en-US" w:eastAsia="zh-CN" w:bidi="ar"/>
        </w:rPr>
        <w:t>党委办公室、综合办公室、科研管理科、中医药研究所、蒙医药研究所、蒙中西医结合研究所、医疗器械研究所、实验中心、转化应用推广中心</w:t>
      </w:r>
      <w:r>
        <w:rPr>
          <w:rFonts w:hint="eastAsia" w:eastAsia="仿宋_GB2312" w:cstheme="minorBidi"/>
          <w:sz w:val="32"/>
          <w:szCs w:val="32"/>
          <w:highlight w:val="none"/>
        </w:rPr>
        <w:t>。</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无下属单位</w:t>
      </w:r>
      <w:r>
        <w:rPr>
          <w:rFonts w:hint="eastAsia" w:eastAsia="仿宋_GB2312" w:cstheme="minorBidi"/>
          <w:sz w:val="32"/>
          <w:szCs w:val="32"/>
          <w:highlight w:val="none"/>
          <w:lang w:eastAsia="zh-CN"/>
        </w:rPr>
        <w:t>。</w:t>
      </w:r>
    </w:p>
    <w:p w14:paraId="35944533">
      <w:pPr>
        <w:spacing w:line="600" w:lineRule="exact"/>
        <w:ind w:firstLine="640" w:firstLineChars="200"/>
        <w:rPr>
          <w:rFonts w:ascii="仿宋_GB2312" w:hAnsi="仿宋_GB2312" w:eastAsia="仿宋_GB2312" w:cs="仿宋_GB2312"/>
          <w:b/>
          <w:bCs/>
          <w:sz w:val="32"/>
          <w:szCs w:val="32"/>
          <w:highlight w:val="none"/>
        </w:rPr>
      </w:pPr>
      <w:r>
        <w:rPr>
          <w:rFonts w:hint="eastAsia" w:eastAsia="仿宋_GB2312" w:cstheme="minorBidi"/>
          <w:sz w:val="32"/>
          <w:szCs w:val="32"/>
          <w:highlight w:val="none"/>
        </w:rPr>
        <w:t>2．从预算单位构成看，纳入</w:t>
      </w:r>
      <w:r>
        <w:rPr>
          <w:rFonts w:hint="eastAsia" w:eastAsia="仿宋_GB2312" w:cstheme="minorBidi"/>
          <w:sz w:val="32"/>
          <w:szCs w:val="32"/>
          <w:highlight w:val="none"/>
          <w:lang w:val="en-US" w:eastAsia="zh-CN"/>
        </w:rPr>
        <w:t>内蒙古自治区中蒙医药研究院</w:t>
      </w:r>
      <w:r>
        <w:rPr>
          <w:rFonts w:hint="eastAsia" w:ascii="仿宋_GB2312" w:hAnsi="仿宋_GB2312" w:eastAsia="仿宋_GB2312" w:cs="仿宋"/>
          <w:sz w:val="32"/>
          <w:szCs w:val="32"/>
          <w:highlight w:val="none"/>
          <w:lang w:val="en-US" w:eastAsia="zh-CN"/>
        </w:rPr>
        <w:t>2025</w:t>
      </w:r>
      <w:r>
        <w:rPr>
          <w:rFonts w:hint="eastAsia" w:eastAsia="仿宋_GB2312" w:cstheme="minorBidi"/>
          <w:sz w:val="32"/>
          <w:szCs w:val="32"/>
          <w:highlight w:val="none"/>
        </w:rPr>
        <w:t>年部门汇总预算编制范围的预算单位共计</w:t>
      </w:r>
      <w:r>
        <w:rPr>
          <w:rFonts w:hint="eastAsia" w:ascii="仿宋_GB2312" w:hAnsi="仿宋_GB2312" w:eastAsia="仿宋_GB2312" w:cs="仿宋"/>
          <w:sz w:val="32"/>
          <w:szCs w:val="32"/>
          <w:highlight w:val="none"/>
          <w:lang w:val="en-US" w:eastAsia="zh-CN"/>
        </w:rPr>
        <w:t>1</w:t>
      </w:r>
      <w:r>
        <w:rPr>
          <w:rFonts w:hint="eastAsia" w:eastAsia="仿宋_GB2312" w:cstheme="minorBidi"/>
          <w:sz w:val="32"/>
          <w:szCs w:val="32"/>
          <w:highlight w:val="none"/>
        </w:rPr>
        <w:t>家，具体包括：</w:t>
      </w:r>
      <w:r>
        <w:rPr>
          <w:rFonts w:hint="eastAsia" w:eastAsia="仿宋_GB2312" w:cstheme="minorBidi"/>
          <w:sz w:val="32"/>
          <w:szCs w:val="32"/>
          <w:highlight w:val="none"/>
          <w:lang w:val="en-US" w:eastAsia="zh-CN"/>
        </w:rPr>
        <w:t>内蒙古自治区中蒙医药研究院</w:t>
      </w:r>
      <w:r>
        <w:rPr>
          <w:rFonts w:hint="eastAsia" w:eastAsia="仿宋_GB2312" w:cstheme="minorBidi"/>
          <w:sz w:val="32"/>
          <w:szCs w:val="32"/>
          <w:highlight w:val="none"/>
        </w:rPr>
        <w:t>。详细情况见表：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4782"/>
        <w:gridCol w:w="3804"/>
      </w:tblGrid>
      <w:tr w14:paraId="7FE25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4677FDE7">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4782" w:type="dxa"/>
            <w:vAlign w:val="center"/>
          </w:tcPr>
          <w:p w14:paraId="38013D7B">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3804" w:type="dxa"/>
            <w:vAlign w:val="center"/>
          </w:tcPr>
          <w:p w14:paraId="295526ED">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14:paraId="68816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14:paraId="74FE581B">
            <w:pPr>
              <w:widowControl/>
              <w:jc w:val="center"/>
              <w:rPr>
                <w:rFonts w:hint="eastAsia" w:ascii="仿宋" w:hAnsi="仿宋" w:eastAsia="仿宋" w:cs="仿宋"/>
                <w:color w:val="000000"/>
                <w:kern w:val="0"/>
                <w:sz w:val="31"/>
                <w:szCs w:val="31"/>
                <w:highlight w:val="none"/>
                <w:lang w:val="en-US" w:eastAsia="zh-CN" w:bidi="ar"/>
              </w:rPr>
            </w:pPr>
            <w:r>
              <w:rPr>
                <w:rFonts w:hint="eastAsia" w:ascii="仿宋" w:hAnsi="仿宋" w:eastAsia="仿宋" w:cs="仿宋"/>
                <w:color w:val="000000"/>
                <w:kern w:val="0"/>
                <w:sz w:val="31"/>
                <w:szCs w:val="31"/>
                <w:highlight w:val="none"/>
                <w:lang w:val="en-US" w:eastAsia="zh-CN" w:bidi="ar"/>
              </w:rPr>
              <w:t>1</w:t>
            </w:r>
          </w:p>
        </w:tc>
        <w:tc>
          <w:tcPr>
            <w:tcW w:w="4782" w:type="dxa"/>
          </w:tcPr>
          <w:p w14:paraId="707E21B2">
            <w:pPr>
              <w:widowControl/>
              <w:jc w:val="left"/>
              <w:rPr>
                <w:rFonts w:hint="eastAsia" w:ascii="仿宋" w:hAnsi="仿宋" w:eastAsia="仿宋" w:cs="仿宋"/>
                <w:color w:val="000000"/>
                <w:kern w:val="0"/>
                <w:sz w:val="31"/>
                <w:szCs w:val="31"/>
                <w:highlight w:val="none"/>
                <w:lang w:eastAsia="zh-CN" w:bidi="ar"/>
              </w:rPr>
            </w:pPr>
            <w:r>
              <w:rPr>
                <w:rFonts w:hint="eastAsia" w:eastAsia="仿宋_GB2312" w:cstheme="minorBidi"/>
                <w:sz w:val="32"/>
                <w:szCs w:val="32"/>
                <w:highlight w:val="none"/>
                <w:lang w:val="en-US" w:eastAsia="zh-CN"/>
              </w:rPr>
              <w:t>内蒙古自治区中蒙医药研究院</w:t>
            </w:r>
          </w:p>
        </w:tc>
        <w:tc>
          <w:tcPr>
            <w:tcW w:w="3804" w:type="dxa"/>
          </w:tcPr>
          <w:p w14:paraId="1410F79B">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公益二类事业单位</w:t>
            </w:r>
          </w:p>
        </w:tc>
      </w:tr>
    </w:tbl>
    <w:p w14:paraId="318B8A4E">
      <w:pPr>
        <w:numPr>
          <w:ilvl w:val="0"/>
          <w:numId w:val="0"/>
        </w:numPr>
        <w:spacing w:line="600" w:lineRule="exact"/>
        <w:ind w:left="17" w:leftChars="8" w:firstLine="624" w:firstLineChars="195"/>
        <w:outlineLvl w:val="2"/>
        <w:rPr>
          <w:rFonts w:hint="eastAsia" w:ascii="Times New Roman" w:hAnsi="Times New Roman" w:eastAsia="黑体" w:cs="黑体"/>
          <w:kern w:val="2"/>
          <w:sz w:val="32"/>
          <w:szCs w:val="36"/>
          <w:lang w:val="en-US" w:eastAsia="zh-CN" w:bidi="ar-SA"/>
        </w:rPr>
      </w:pPr>
    </w:p>
    <w:p w14:paraId="56053F8D">
      <w:pPr>
        <w:numPr>
          <w:ilvl w:val="0"/>
          <w:numId w:val="0"/>
        </w:numPr>
        <w:spacing w:line="600" w:lineRule="exact"/>
        <w:ind w:left="17" w:leftChars="8" w:firstLine="624" w:firstLineChars="195"/>
        <w:outlineLvl w:val="2"/>
        <w:rPr>
          <w:rFonts w:eastAsia="黑体" w:cs="黑体"/>
          <w:sz w:val="32"/>
          <w:szCs w:val="36"/>
          <w:highlight w:val="none"/>
        </w:rPr>
      </w:pPr>
      <w:r>
        <w:rPr>
          <w:rFonts w:hint="eastAsia" w:ascii="Times New Roman" w:hAnsi="Times New Roman" w:eastAsia="黑体" w:cs="黑体"/>
          <w:kern w:val="2"/>
          <w:sz w:val="32"/>
          <w:szCs w:val="36"/>
          <w:lang w:val="en-US" w:eastAsia="zh-CN" w:bidi="ar-SA"/>
        </w:rPr>
        <w:t>三、</w:t>
      </w:r>
      <w:r>
        <w:rPr>
          <w:rFonts w:hint="eastAsia" w:ascii="仿宋_GB2312" w:hAnsi="仿宋_GB2312" w:eastAsia="黑体" w:cs="黑体"/>
          <w:sz w:val="32"/>
          <w:szCs w:val="36"/>
          <w:highlight w:val="none"/>
          <w:lang w:val="en-US" w:eastAsia="zh-CN"/>
        </w:rPr>
        <w:t>2025</w:t>
      </w:r>
      <w:r>
        <w:rPr>
          <w:rFonts w:hint="eastAsia" w:eastAsia="黑体" w:cs="黑体"/>
          <w:sz w:val="32"/>
          <w:szCs w:val="36"/>
          <w:highlight w:val="none"/>
        </w:rPr>
        <w:t>年度</w:t>
      </w:r>
      <w:r>
        <w:rPr>
          <w:rFonts w:hint="eastAsia" w:eastAsia="黑体" w:cs="黑体"/>
          <w:sz w:val="32"/>
          <w:szCs w:val="36"/>
          <w:highlight w:val="none"/>
          <w:lang w:val="en-US" w:eastAsia="zh-CN"/>
        </w:rPr>
        <w:t>内蒙古自治区中蒙医药研究院</w:t>
      </w:r>
      <w:r>
        <w:rPr>
          <w:rFonts w:hint="eastAsia" w:eastAsia="黑体" w:cs="黑体"/>
          <w:sz w:val="32"/>
          <w:szCs w:val="36"/>
          <w:highlight w:val="none"/>
        </w:rPr>
        <w:t>主要工作任务及目标</w:t>
      </w:r>
    </w:p>
    <w:p w14:paraId="45960079">
      <w:pPr>
        <w:numPr>
          <w:ilvl w:val="0"/>
          <w:numId w:val="0"/>
        </w:numPr>
        <w:spacing w:line="600" w:lineRule="exact"/>
        <w:ind w:firstLine="640"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sz w:val="32"/>
          <w:szCs w:val="36"/>
          <w:highlight w:val="none"/>
        </w:rPr>
        <w:t>2025年是“十四五”规划收官之年，是“十五五”规划布局之年，也是进一步全面深化改革、推进中国式现代化的关键之年。处在五年规划承上启下过渡期，政策利好密集释放，动能优势加速蓄积。我们要更好统筹发展所需，抓住一切有利时机，利用一切有利条件，以特色增质效，以创新求突破，努力开创中医药(蒙医药)高质量发展和研究院发展新局面。2025年，将重点做好方面的工作:</w:t>
      </w:r>
    </w:p>
    <w:p w14:paraId="2750D798">
      <w:pPr>
        <w:numPr>
          <w:ilvl w:val="0"/>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一是</w:t>
      </w:r>
      <w:r>
        <w:rPr>
          <w:rFonts w:hint="eastAsia" w:ascii="仿宋_GB2312" w:hAnsi="仿宋_GB2312" w:eastAsia="仿宋_GB2312" w:cs="仿宋_GB2312"/>
          <w:sz w:val="32"/>
          <w:szCs w:val="36"/>
          <w:highlight w:val="none"/>
        </w:rPr>
        <w:t>抓好理论学习。以深入学习贯彻习近平新时代中国特色社会主义思想为指导，</w:t>
      </w:r>
      <w:bookmarkStart w:id="5" w:name="_GoBack"/>
      <w:bookmarkEnd w:id="5"/>
      <w:r>
        <w:rPr>
          <w:rFonts w:hint="eastAsia" w:ascii="仿宋_GB2312" w:hAnsi="仿宋_GB2312" w:eastAsia="仿宋_GB2312" w:cs="仿宋_GB2312"/>
          <w:sz w:val="32"/>
          <w:szCs w:val="36"/>
          <w:highlight w:val="none"/>
        </w:rPr>
        <w:t>利用线上线下学习平台，创新学习方式，着力打造特党建品牌，积极以理论学习带动“最强党支部”、坚强堡垒“模范”党支部创建，不断提升理论学习质量。</w:t>
      </w:r>
    </w:p>
    <w:p w14:paraId="5A9DF8FB">
      <w:pPr>
        <w:numPr>
          <w:ilvl w:val="0"/>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二是</w:t>
      </w:r>
      <w:r>
        <w:rPr>
          <w:rFonts w:hint="eastAsia" w:ascii="仿宋_GB2312" w:hAnsi="仿宋_GB2312" w:eastAsia="仿宋_GB2312" w:cs="仿宋_GB2312"/>
          <w:sz w:val="32"/>
          <w:szCs w:val="36"/>
          <w:highlight w:val="none"/>
        </w:rPr>
        <w:t>抓好组织建设。树牢以党的一切工作到支部为鲜明导向的思维，督促、指导党支部以“三会一课”为基础，创新党建工作，切实发挥党组织战斗堡垒作用。以“提标、提速、提效”为抓手，严格党员发展和教育工作，不断强化、简化、优化党建工作流程，切实提高服务水平。</w:t>
      </w:r>
    </w:p>
    <w:p w14:paraId="43352BF0">
      <w:pPr>
        <w:numPr>
          <w:ilvl w:val="0"/>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三是</w:t>
      </w:r>
      <w:r>
        <w:rPr>
          <w:rFonts w:hint="eastAsia" w:ascii="仿宋_GB2312" w:hAnsi="仿宋_GB2312" w:eastAsia="仿宋_GB2312" w:cs="仿宋_GB2312"/>
          <w:sz w:val="32"/>
          <w:szCs w:val="36"/>
          <w:highlight w:val="none"/>
        </w:rPr>
        <w:t>抓好党风廉政建设。及时学习传达2025年度全区卫生健康系统党的建设和党风廉政建设工作会议精神，部署党建和党风廉政建设工作。在卫健委机关纪委和院纪委的领导下，完善纪检监察工作机制，落实院纪委提醒、谈话等制度，常态化开展廉政警示教育，加强医德医风教育学习，组织签订正负面清单承诺书，动态更新廉政档案，做到常吹廉政风、常敲警示钟。认真接待办理投诉和问题线索，常态化开展教育引导工作，推动研究院全面从严治党向纵深发展。</w:t>
      </w:r>
    </w:p>
    <w:p w14:paraId="6869B887">
      <w:pPr>
        <w:numPr>
          <w:ilvl w:val="0"/>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四是</w:t>
      </w:r>
      <w:r>
        <w:rPr>
          <w:rFonts w:hint="eastAsia" w:ascii="仿宋_GB2312" w:hAnsi="仿宋_GB2312" w:eastAsia="仿宋_GB2312" w:cs="仿宋_GB2312"/>
          <w:sz w:val="32"/>
          <w:szCs w:val="36"/>
          <w:highlight w:val="none"/>
        </w:rPr>
        <w:t>抓好人才队伍建设。加强人才的引进和梯队的建设工作。完成2025年公开招聘10人，高层人才引进10人的相关工作。继续抓好干部教育培训工作。从培训内容、教学模式、学习方式等多方发力，训实效。</w:t>
      </w:r>
    </w:p>
    <w:p w14:paraId="74E41BBC">
      <w:pPr>
        <w:numPr>
          <w:ilvl w:val="0"/>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五是</w:t>
      </w:r>
      <w:r>
        <w:rPr>
          <w:rFonts w:hint="eastAsia" w:ascii="仿宋_GB2312" w:hAnsi="仿宋_GB2312" w:eastAsia="仿宋_GB2312" w:cs="仿宋_GB2312"/>
          <w:sz w:val="32"/>
          <w:szCs w:val="36"/>
          <w:highlight w:val="none"/>
        </w:rPr>
        <w:t>紧扣主线、聚焦聚力。牢牢把握铸牢中华民族共同体意识是各项工作的主线，将安全生产工作和普法工作贯穿至全院工作中，推动研究院工作时，紧紧围绕、毫不偏离主线，坚决贯穿于想问题作决策、出政策、抓落实全过程各方面。</w:t>
      </w:r>
    </w:p>
    <w:p w14:paraId="4F44B934">
      <w:pPr>
        <w:numPr>
          <w:ilvl w:val="0"/>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六是</w:t>
      </w:r>
      <w:r>
        <w:rPr>
          <w:rFonts w:hint="eastAsia" w:ascii="仿宋_GB2312" w:hAnsi="仿宋_GB2312" w:eastAsia="仿宋_GB2312" w:cs="仿宋_GB2312"/>
          <w:sz w:val="32"/>
          <w:szCs w:val="36"/>
          <w:highlight w:val="none"/>
        </w:rPr>
        <w:t>完善管理运行机制。根据实际工作情况进一步完善各项规章制度，加强项目和资金管理，修订绩效方案，确保机构在法制化、规范化、科学化的轨道上运行。</w:t>
      </w:r>
    </w:p>
    <w:p w14:paraId="4F44F23D">
      <w:pPr>
        <w:numPr>
          <w:ilvl w:val="0"/>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七是</w:t>
      </w:r>
      <w:r>
        <w:rPr>
          <w:rFonts w:hint="eastAsia" w:ascii="仿宋_GB2312" w:hAnsi="仿宋_GB2312" w:eastAsia="仿宋_GB2312" w:cs="仿宋_GB2312"/>
          <w:sz w:val="32"/>
          <w:szCs w:val="36"/>
          <w:highlight w:val="none"/>
        </w:rPr>
        <w:t>深入开展政策研究，提升科研创新能力。在国家实施创新驱动发展战略的大环境下，深入学习贯彻落实国家、自治区相关政策措施，合理搭建框架、健全管理体系。组织开展科研政策、学术交流等培训，提高科研课题及论文质量。持续向全国优秀的中医药科研机构、科研院所学习经验做法。</w:t>
      </w:r>
    </w:p>
    <w:p w14:paraId="7D908B00">
      <w:pPr>
        <w:numPr>
          <w:ilvl w:val="0"/>
          <w:numId w:val="0"/>
        </w:numPr>
        <w:spacing w:line="600" w:lineRule="exact"/>
        <w:ind w:firstLine="643" w:firstLineChars="200"/>
        <w:outlineLvl w:val="2"/>
        <w:rPr>
          <w:rFonts w:hint="eastAsia" w:ascii="仿宋_GB2312" w:hAnsi="仿宋_GB2312" w:eastAsia="仿宋_GB2312" w:cs="仿宋_GB2312"/>
          <w:sz w:val="32"/>
          <w:szCs w:val="36"/>
          <w:highlight w:val="none"/>
        </w:rPr>
      </w:pPr>
      <w:r>
        <w:rPr>
          <w:rFonts w:hint="eastAsia" w:ascii="仿宋_GB2312" w:hAnsi="仿宋_GB2312" w:eastAsia="仿宋_GB2312" w:cs="仿宋_GB2312"/>
          <w:b/>
          <w:bCs/>
          <w:sz w:val="32"/>
          <w:szCs w:val="36"/>
          <w:highlight w:val="none"/>
        </w:rPr>
        <w:t>八是</w:t>
      </w:r>
      <w:r>
        <w:rPr>
          <w:rFonts w:hint="eastAsia" w:ascii="仿宋_GB2312" w:hAnsi="仿宋_GB2312" w:eastAsia="仿宋_GB2312" w:cs="仿宋_GB2312"/>
          <w:sz w:val="32"/>
          <w:szCs w:val="36"/>
          <w:highlight w:val="none"/>
        </w:rPr>
        <w:t>完善科技成果转化平台建设，理顺科技成果转化路径及方法。优化完善科技成果转化办法，理顺成果转移转化全链条管理机制和规范化流程。</w:t>
      </w:r>
    </w:p>
    <w:p w14:paraId="40F9545F">
      <w:pPr>
        <w:numPr>
          <w:ilvl w:val="0"/>
          <w:numId w:val="0"/>
        </w:numPr>
        <w:spacing w:line="600" w:lineRule="exact"/>
        <w:ind w:firstLine="643" w:firstLineChars="200"/>
        <w:outlineLvl w:val="2"/>
        <w:rPr>
          <w:rFonts w:hint="eastAsia" w:eastAsia="黑体" w:cs="黑体"/>
          <w:sz w:val="32"/>
          <w:szCs w:val="36"/>
          <w:highlight w:val="none"/>
        </w:rPr>
      </w:pPr>
      <w:r>
        <w:rPr>
          <w:rFonts w:hint="eastAsia" w:ascii="仿宋_GB2312" w:hAnsi="仿宋_GB2312" w:eastAsia="仿宋_GB2312" w:cs="仿宋_GB2312"/>
          <w:b/>
          <w:bCs/>
          <w:sz w:val="32"/>
          <w:szCs w:val="36"/>
          <w:highlight w:val="none"/>
        </w:rPr>
        <w:t>九是</w:t>
      </w:r>
      <w:r>
        <w:rPr>
          <w:rFonts w:hint="eastAsia" w:ascii="仿宋_GB2312" w:hAnsi="仿宋_GB2312" w:eastAsia="仿宋_GB2312" w:cs="仿宋_GB2312"/>
          <w:sz w:val="32"/>
          <w:szCs w:val="36"/>
          <w:highlight w:val="none"/>
        </w:rPr>
        <w:t>做好群众、统战、民族、老干部、文化宣传、财务、采购、保密安全生产等工作。</w:t>
      </w:r>
    </w:p>
    <w:p w14:paraId="561FB788">
      <w:pPr>
        <w:rPr>
          <w:rFonts w:hint="eastAsia" w:ascii="方正小标宋简体" w:hAnsi="方正小标宋简体" w:eastAsia="方正小标宋简体" w:cs="方正小标宋简体"/>
          <w:b w:val="0"/>
          <w:bCs w:val="0"/>
          <w:sz w:val="36"/>
          <w:szCs w:val="36"/>
          <w:highlight w:val="none"/>
        </w:rPr>
      </w:pPr>
      <w:bookmarkStart w:id="1" w:name="_Toc21288"/>
      <w:r>
        <w:rPr>
          <w:rFonts w:hint="eastAsia" w:ascii="方正小标宋简体" w:hAnsi="方正小标宋简体" w:eastAsia="方正小标宋简体" w:cs="方正小标宋简体"/>
          <w:b w:val="0"/>
          <w:bCs w:val="0"/>
          <w:sz w:val="36"/>
          <w:szCs w:val="36"/>
          <w:highlight w:val="none"/>
        </w:rPr>
        <w:br w:type="page"/>
      </w:r>
    </w:p>
    <w:p w14:paraId="7BA19032">
      <w:pPr>
        <w:pStyle w:val="3"/>
        <w:tabs>
          <w:tab w:val="left" w:pos="4392"/>
        </w:tabs>
        <w:adjustRightInd/>
        <w:snapToGrid/>
        <w:spacing w:before="0" w:after="0" w:line="600" w:lineRule="exact"/>
        <w:ind w:firstLine="0" w:firstLineChars="0"/>
        <w:jc w:val="center"/>
        <w:rPr>
          <w:rFonts w:hint="eastAsia" w:ascii="方正小标宋_GBK" w:hAnsi="方正小标宋_GBK" w:eastAsia="方正小标宋_GBK" w:cs="方正小标宋_GBK"/>
          <w:b w:val="0"/>
          <w:bCs w:val="0"/>
          <w:sz w:val="36"/>
          <w:szCs w:val="36"/>
          <w:highlight w:val="none"/>
        </w:rPr>
      </w:pPr>
      <w:r>
        <w:rPr>
          <w:rFonts w:hint="eastAsia" w:ascii="方正小标宋_GBK" w:hAnsi="方正小标宋_GBK" w:eastAsia="方正小标宋_GBK" w:cs="方正小标宋_GBK"/>
          <w:b w:val="0"/>
          <w:bCs w:val="0"/>
          <w:sz w:val="36"/>
          <w:szCs w:val="36"/>
          <w:highlight w:val="none"/>
        </w:rPr>
        <w:t>第二部分</w:t>
      </w:r>
      <w:r>
        <w:rPr>
          <w:rFonts w:hint="eastAsia" w:ascii="方正小标宋_GBK" w:hAnsi="方正小标宋_GBK" w:eastAsia="方正小标宋_GBK" w:cs="方正小标宋_GBK"/>
          <w:b w:val="0"/>
          <w:bCs w:val="0"/>
          <w:sz w:val="36"/>
          <w:szCs w:val="36"/>
          <w:highlight w:val="none"/>
          <w:lang w:val="en-US" w:eastAsia="zh-CN"/>
        </w:rPr>
        <w:t xml:space="preserve">  2025</w:t>
      </w:r>
      <w:r>
        <w:rPr>
          <w:rFonts w:hint="eastAsia" w:ascii="方正小标宋_GBK" w:hAnsi="方正小标宋_GBK" w:eastAsia="方正小标宋_GBK" w:cs="方正小标宋_GBK"/>
          <w:b w:val="0"/>
          <w:bCs w:val="0"/>
          <w:sz w:val="36"/>
          <w:szCs w:val="36"/>
          <w:highlight w:val="none"/>
        </w:rPr>
        <w:t>年度</w:t>
      </w:r>
      <w:r>
        <w:rPr>
          <w:rFonts w:hint="eastAsia" w:ascii="方正小标宋_GBK" w:hAnsi="方正小标宋_GBK" w:eastAsia="方正小标宋_GBK" w:cs="方正小标宋_GBK"/>
          <w:b w:val="0"/>
          <w:bCs w:val="0"/>
          <w:sz w:val="36"/>
          <w:szCs w:val="36"/>
          <w:highlight w:val="none"/>
          <w:lang w:val="en-US" w:eastAsia="zh-CN"/>
        </w:rPr>
        <w:t>内蒙古自治区中蒙医药研究院</w:t>
      </w:r>
      <w:r>
        <w:rPr>
          <w:rFonts w:hint="eastAsia" w:ascii="方正小标宋_GBK" w:hAnsi="方正小标宋_GBK" w:eastAsia="方正小标宋_GBK" w:cs="方正小标宋_GBK"/>
          <w:b w:val="0"/>
          <w:bCs w:val="0"/>
          <w:sz w:val="36"/>
          <w:szCs w:val="36"/>
          <w:highlight w:val="none"/>
        </w:rPr>
        <w:t>预算情况说明</w:t>
      </w:r>
      <w:bookmarkEnd w:id="1"/>
    </w:p>
    <w:p w14:paraId="7730A676">
      <w:pPr>
        <w:spacing w:line="600" w:lineRule="exact"/>
        <w:rPr>
          <w:rFonts w:ascii="方正小标宋简体" w:hAnsi="方正小标宋简体" w:eastAsia="方正小标宋简体" w:cs="方正小标宋简体"/>
          <w:sz w:val="36"/>
          <w:szCs w:val="36"/>
          <w:highlight w:val="none"/>
        </w:rPr>
      </w:pPr>
    </w:p>
    <w:p w14:paraId="6305D148">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一、收支预算总体情况说明</w:t>
      </w:r>
    </w:p>
    <w:p w14:paraId="15B8C51E">
      <w:pPr>
        <w:pStyle w:val="8"/>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lang w:val="en-US" w:eastAsia="zh-CN"/>
        </w:rPr>
        <w:t>2025</w:t>
      </w:r>
      <w:r>
        <w:rPr>
          <w:rFonts w:hint="eastAsia" w:ascii="仿宋_GB2312" w:hAnsi="仿宋_GB2312" w:eastAsia="仿宋_GB2312" w:cs="仿宋_GB2312"/>
          <w:sz w:val="32"/>
          <w:szCs w:val="32"/>
          <w:highlight w:val="none"/>
        </w:rPr>
        <w:t>年度收入、支出预算总计</w:t>
      </w:r>
      <w:r>
        <w:rPr>
          <w:rFonts w:hint="eastAsia" w:ascii="仿宋_GB2312" w:hAnsi="仿宋_GB2312" w:eastAsia="仿宋_GB2312" w:cs="仿宋_GB2312"/>
          <w:sz w:val="32"/>
          <w:szCs w:val="32"/>
          <w:highlight w:val="none"/>
          <w:u w:val="single"/>
        </w:rPr>
        <w:t xml:space="preserve">    </w:t>
      </w:r>
      <w:r>
        <w:rPr>
          <w:rFonts w:hint="eastAsia" w:eastAsia="仿宋_GB2312"/>
          <w:sz w:val="32"/>
          <w:szCs w:val="32"/>
          <w:highlight w:val="none"/>
          <w:u w:val="single"/>
          <w:lang w:val="en-US" w:eastAsia="zh-CN"/>
        </w:rPr>
        <w:t>3774.10</w:t>
      </w:r>
      <w:r>
        <w:rPr>
          <w:rFonts w:hint="eastAsia" w:ascii="仿宋_GB2312" w:hAnsi="仿宋_GB2312" w:eastAsia="仿宋_GB2312" w:cs="仿宋_GB2312"/>
          <w:sz w:val="32"/>
          <w:szCs w:val="32"/>
          <w:highlight w:val="none"/>
        </w:rPr>
        <w:t>万元，与上年相比收、支预算总计</w:t>
      </w:r>
      <w:r>
        <w:rPr>
          <w:rFonts w:hint="eastAsia" w:ascii="仿宋_GB2312" w:hAnsi="仿宋_GB2312" w:eastAsia="仿宋_GB2312" w:cs="仿宋_GB2312"/>
          <w:sz w:val="32"/>
          <w:szCs w:val="32"/>
          <w:highlight w:val="none"/>
          <w:lang w:val="en-US" w:eastAsia="zh-CN"/>
        </w:rPr>
        <w:t>均</w:t>
      </w:r>
      <w:r>
        <w:rPr>
          <w:rFonts w:hint="eastAsia" w:ascii="仿宋_GB2312" w:hAnsi="仿宋_GB2312" w:eastAsia="仿宋_GB2312" w:cs="仿宋_GB2312"/>
          <w:sz w:val="32"/>
          <w:szCs w:val="32"/>
          <w:highlight w:val="none"/>
        </w:rPr>
        <w:t>增加</w:t>
      </w:r>
      <w:r>
        <w:rPr>
          <w:rFonts w:hint="eastAsia" w:ascii="仿宋_GB2312" w:hAnsi="仿宋_GB2312" w:eastAsia="仿宋_GB2312" w:cs="仿宋_GB2312"/>
          <w:sz w:val="32"/>
          <w:szCs w:val="32"/>
          <w:highlight w:val="none"/>
          <w:u w:val="single"/>
        </w:rPr>
        <w:t xml:space="preserve">  </w:t>
      </w:r>
      <w:r>
        <w:rPr>
          <w:rFonts w:hint="eastAsia" w:eastAsia="仿宋_GB2312"/>
          <w:sz w:val="32"/>
          <w:szCs w:val="32"/>
          <w:highlight w:val="none"/>
          <w:u w:val="single"/>
          <w:lang w:val="en-US" w:eastAsia="zh-CN"/>
        </w:rPr>
        <w:t>957.63</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u w:val="single"/>
        </w:rPr>
        <w:t xml:space="preserve">  </w:t>
      </w:r>
      <w:r>
        <w:rPr>
          <w:rFonts w:hint="eastAsia" w:eastAsia="仿宋_GB2312"/>
          <w:sz w:val="32"/>
          <w:szCs w:val="32"/>
          <w:highlight w:val="none"/>
          <w:u w:val="single"/>
          <w:lang w:val="en-US" w:eastAsia="zh-CN"/>
        </w:rPr>
        <w:t>34</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%。其中：</w:t>
      </w:r>
    </w:p>
    <w:p w14:paraId="738B4BCB">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u w:val="single"/>
          <w:lang w:val="en-US" w:eastAsia="zh-CN"/>
        </w:rPr>
        <w:t>3774.10</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14:paraId="67436B02">
      <w:pPr>
        <w:pStyle w:val="8"/>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3774.10</w:t>
      </w:r>
      <w:r>
        <w:rPr>
          <w:rFonts w:eastAsia="仿宋_GB2312"/>
          <w:sz w:val="32"/>
          <w:szCs w:val="32"/>
          <w:highlight w:val="none"/>
          <w:u w:val="single"/>
        </w:rPr>
        <w:t xml:space="preserve">  </w:t>
      </w:r>
      <w:r>
        <w:rPr>
          <w:rFonts w:eastAsia="仿宋_GB2312"/>
          <w:sz w:val="32"/>
          <w:szCs w:val="32"/>
          <w:highlight w:val="none"/>
        </w:rPr>
        <w:t>万元。</w:t>
      </w:r>
    </w:p>
    <w:p w14:paraId="4F4BFE2E">
      <w:pPr>
        <w:pStyle w:val="8"/>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（1）一般公共预算拨款收入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1774.30</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240.15 </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15.65</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eastAsia="仿宋_GB2312"/>
          <w:sz w:val="32"/>
          <w:szCs w:val="32"/>
          <w:highlight w:val="none"/>
        </w:rPr>
        <w:t>2025年自治区卫生健康管理工作任务（专科建设）增加导致一般公共预算项目收入增</w:t>
      </w:r>
      <w:r>
        <w:rPr>
          <w:rFonts w:hint="eastAsia" w:eastAsia="仿宋_GB2312"/>
          <w:sz w:val="32"/>
          <w:szCs w:val="32"/>
          <w:highlight w:val="none"/>
          <w:lang w:val="en-US" w:eastAsia="zh-CN"/>
        </w:rPr>
        <w:t>加</w:t>
      </w:r>
      <w:r>
        <w:rPr>
          <w:rFonts w:eastAsia="仿宋_GB2312"/>
          <w:sz w:val="32"/>
          <w:szCs w:val="32"/>
          <w:highlight w:val="none"/>
        </w:rPr>
        <w:t>。</w:t>
      </w:r>
    </w:p>
    <w:p w14:paraId="59A57CD2">
      <w:pPr>
        <w:pStyle w:val="8"/>
        <w:tabs>
          <w:tab w:val="left" w:pos="1389"/>
          <w:tab w:val="left" w:pos="4911"/>
          <w:tab w:val="left" w:pos="5991"/>
        </w:tabs>
        <w:spacing w:after="0" w:line="600" w:lineRule="exact"/>
        <w:ind w:firstLine="640" w:firstLineChars="200"/>
        <w:rPr>
          <w:rFonts w:hint="eastAsia" w:eastAsia="仿宋_GB2312"/>
          <w:sz w:val="32"/>
          <w:szCs w:val="32"/>
          <w:highlight w:val="none"/>
          <w:lang w:val="en-US" w:eastAsia="zh-CN"/>
        </w:rPr>
      </w:pPr>
      <w:r>
        <w:rPr>
          <w:rFonts w:eastAsia="仿宋_GB2312"/>
          <w:sz w:val="32"/>
          <w:szCs w:val="32"/>
          <w:highlight w:val="none"/>
        </w:rPr>
        <w:t>（2）政府性基金预算拨款收入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3BE406CB">
      <w:pPr>
        <w:pStyle w:val="8"/>
        <w:tabs>
          <w:tab w:val="left" w:pos="1389"/>
          <w:tab w:val="left" w:pos="4911"/>
          <w:tab w:val="left" w:pos="5991"/>
        </w:tabs>
        <w:spacing w:after="0" w:line="600" w:lineRule="exact"/>
        <w:ind w:firstLine="640" w:firstLineChars="200"/>
        <w:rPr>
          <w:rFonts w:hint="eastAsia" w:ascii="仿宋_GB2312" w:hAnsi="仿宋_GB2312" w:eastAsia="仿宋_GB2312"/>
          <w:sz w:val="32"/>
          <w:szCs w:val="24"/>
          <w:highlight w:val="none"/>
          <w:lang w:eastAsia="zh-CN"/>
        </w:rPr>
      </w:pPr>
      <w:r>
        <w:rPr>
          <w:rFonts w:eastAsia="仿宋_GB2312"/>
          <w:sz w:val="32"/>
          <w:szCs w:val="32"/>
          <w:highlight w:val="none"/>
        </w:rPr>
        <w:t>（3）国有资本经营预算拨款收入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hint="eastAsia" w:ascii="仿宋_GB2312" w:hAnsi="仿宋_GB2312" w:eastAsia="仿宋_GB2312"/>
          <w:sz w:val="32"/>
          <w:szCs w:val="24"/>
          <w:highlight w:val="none"/>
          <w:lang w:eastAsia="zh-CN"/>
        </w:rPr>
        <w:t>。</w:t>
      </w:r>
    </w:p>
    <w:p w14:paraId="1EBFB90F">
      <w:pPr>
        <w:pStyle w:val="8"/>
        <w:tabs>
          <w:tab w:val="left" w:pos="1389"/>
          <w:tab w:val="left" w:pos="4911"/>
          <w:tab w:val="left" w:pos="5991"/>
        </w:tabs>
        <w:spacing w:after="0" w:line="600" w:lineRule="exact"/>
        <w:ind w:firstLine="640" w:firstLineChars="200"/>
        <w:rPr>
          <w:rFonts w:eastAsia="仿宋_GB2312"/>
          <w:sz w:val="32"/>
          <w:szCs w:val="32"/>
          <w:highlight w:val="none"/>
        </w:rPr>
      </w:pPr>
      <w:r>
        <w:rPr>
          <w:rFonts w:eastAsia="仿宋_GB2312"/>
          <w:sz w:val="32"/>
          <w:szCs w:val="32"/>
          <w:highlight w:val="none"/>
        </w:rPr>
        <w:t>（4）财政专户管理资金收入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40E82BEF">
      <w:pPr>
        <w:pStyle w:val="8"/>
        <w:tabs>
          <w:tab w:val="left" w:pos="3310"/>
          <w:tab w:val="left" w:pos="3807"/>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（5）事业收入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512.56</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144.56</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39.28 </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cs="仿宋_GB2312"/>
          <w:sz w:val="32"/>
          <w:szCs w:val="32"/>
          <w:lang w:val="en-US" w:eastAsia="zh-CN"/>
        </w:rPr>
        <w:t>本单位三本杂志计划增刊发行，杂志收入相对增加</w:t>
      </w:r>
      <w:r>
        <w:rPr>
          <w:rFonts w:eastAsia="仿宋_GB2312"/>
          <w:sz w:val="32"/>
          <w:szCs w:val="32"/>
          <w:highlight w:val="none"/>
        </w:rPr>
        <w:t>。</w:t>
      </w:r>
    </w:p>
    <w:p w14:paraId="0F64625F">
      <w:pPr>
        <w:pStyle w:val="8"/>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（6）事业单位经营收入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1390.65 </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591.65 </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74.05</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cs="仿宋_GB2312"/>
          <w:sz w:val="32"/>
          <w:szCs w:val="32"/>
          <w:lang w:val="en-US" w:eastAsia="zh-CN"/>
        </w:rPr>
        <w:t>一是三本杂志预计今年增刊发行，杂志收入相对增加；二是计划今年加大对外卫生健康管理工作合作，纵向项目和横向项目预计有所增加，经营收入相对增加</w:t>
      </w:r>
      <w:r>
        <w:rPr>
          <w:rFonts w:eastAsia="仿宋_GB2312"/>
          <w:sz w:val="32"/>
          <w:szCs w:val="32"/>
          <w:highlight w:val="none"/>
        </w:rPr>
        <w:t>。</w:t>
      </w:r>
    </w:p>
    <w:p w14:paraId="3A7AE043">
      <w:pPr>
        <w:pStyle w:val="8"/>
        <w:tabs>
          <w:tab w:val="left" w:pos="4320"/>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（7）上级补助收入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0F443D79">
      <w:pPr>
        <w:pStyle w:val="8"/>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（8）附属单位上缴收入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6DE91ED0">
      <w:pPr>
        <w:pStyle w:val="8"/>
        <w:tabs>
          <w:tab w:val="left" w:pos="3310"/>
          <w:tab w:val="left" w:pos="4121"/>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（9）其他收入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0 </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1B7F78CD">
      <w:pPr>
        <w:pStyle w:val="8"/>
        <w:tabs>
          <w:tab w:val="left" w:pos="3310"/>
          <w:tab w:val="left" w:pos="4280"/>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2．上年结转结余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96.59</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18.73</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16.24</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cs="仿宋_GB2312"/>
          <w:sz w:val="32"/>
          <w:szCs w:val="32"/>
          <w:lang w:val="en-US" w:eastAsia="zh-CN"/>
        </w:rPr>
        <w:t>上年度中央项目-医疗服务与保障能力建设两年期项目任务完成提前，部分支出提前支出完成</w:t>
      </w:r>
      <w:r>
        <w:rPr>
          <w:rFonts w:eastAsia="仿宋_GB2312"/>
          <w:sz w:val="32"/>
          <w:szCs w:val="32"/>
          <w:highlight w:val="none"/>
        </w:rPr>
        <w:t>。</w:t>
      </w:r>
    </w:p>
    <w:p w14:paraId="4E413E5B">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（二）支出预算总计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u w:val="single"/>
          <w:lang w:val="en-US" w:eastAsia="zh-CN"/>
        </w:rPr>
        <w:t>3774.10</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14:paraId="69F65FED">
      <w:pPr>
        <w:pStyle w:val="8"/>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1．本年支出合计</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3774.10</w:t>
      </w:r>
      <w:r>
        <w:rPr>
          <w:rFonts w:eastAsia="仿宋_GB2312"/>
          <w:sz w:val="32"/>
          <w:szCs w:val="32"/>
          <w:highlight w:val="none"/>
          <w:u w:val="single"/>
        </w:rPr>
        <w:t xml:space="preserve">   </w:t>
      </w:r>
      <w:r>
        <w:rPr>
          <w:rFonts w:eastAsia="仿宋_GB2312"/>
          <w:sz w:val="32"/>
          <w:szCs w:val="32"/>
          <w:highlight w:val="none"/>
        </w:rPr>
        <w:t>万元。</w:t>
      </w:r>
    </w:p>
    <w:p w14:paraId="047D0AB0">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eastAsia="仿宋_GB2312"/>
          <w:sz w:val="32"/>
          <w:szCs w:val="32"/>
          <w:highlight w:val="none"/>
        </w:rPr>
      </w:pPr>
      <w:r>
        <w:rPr>
          <w:rFonts w:eastAsia="仿宋_GB2312"/>
          <w:sz w:val="32"/>
          <w:szCs w:val="32"/>
          <w:highlight w:val="none"/>
        </w:rPr>
        <w:t>（1）</w:t>
      </w:r>
      <w:r>
        <w:rPr>
          <w:rFonts w:hint="eastAsia" w:ascii="仿宋_GB2312" w:hAnsi="仿宋_GB2312" w:eastAsia="仿宋_GB2312" w:cs="仿宋_GB2312"/>
          <w:sz w:val="32"/>
          <w:szCs w:val="32"/>
          <w:lang w:val="en-US" w:eastAsia="zh-CN"/>
        </w:rPr>
        <w:t>社会保障和就业支出（类）</w:t>
      </w:r>
      <w:r>
        <w:rPr>
          <w:rFonts w:hint="eastAsia" w:ascii="Times New Roman" w:hAnsi="Times New Roman" w:eastAsia="仿宋_GB2312" w:cs="Times New Roman"/>
          <w:kern w:val="2"/>
          <w:sz w:val="32"/>
          <w:szCs w:val="32"/>
          <w:highlight w:val="none"/>
          <w:u w:val="single"/>
          <w:lang w:val="en-US" w:eastAsia="zh-CN" w:bidi="ar-SA"/>
        </w:rPr>
        <w:t>147</w:t>
      </w:r>
      <w:r>
        <w:rPr>
          <w:rFonts w:hint="eastAsia" w:ascii="仿宋_GB2312" w:hAnsi="仿宋_GB2312" w:eastAsia="仿宋_GB2312" w:cs="仿宋_GB2312"/>
          <w:sz w:val="32"/>
          <w:szCs w:val="32"/>
          <w:lang w:val="en-US" w:eastAsia="zh-CN"/>
        </w:rPr>
        <w:t>万元，主要用于本单位职工养老保险缴存。较上年增加</w:t>
      </w:r>
      <w:r>
        <w:rPr>
          <w:rFonts w:hint="eastAsia" w:ascii="仿宋_GB2312" w:hAnsi="仿宋_GB2312" w:eastAsia="仿宋_GB2312" w:cs="仿宋_GB2312"/>
          <w:sz w:val="32"/>
          <w:szCs w:val="32"/>
          <w:u w:val="single"/>
          <w:lang w:val="en-US" w:eastAsia="zh-CN"/>
        </w:rPr>
        <w:t>21</w:t>
      </w:r>
      <w:r>
        <w:rPr>
          <w:rFonts w:hint="eastAsia" w:ascii="仿宋_GB2312" w:hAnsi="仿宋_GB2312" w:eastAsia="仿宋_GB2312" w:cs="仿宋_GB2312"/>
          <w:sz w:val="32"/>
          <w:szCs w:val="32"/>
          <w:lang w:val="en-US" w:eastAsia="zh-CN"/>
        </w:rPr>
        <w:t>万元，增幅</w:t>
      </w:r>
      <w:r>
        <w:rPr>
          <w:rFonts w:hint="eastAsia" w:ascii="仿宋_GB2312" w:hAnsi="仿宋_GB2312" w:eastAsia="仿宋_GB2312" w:cs="仿宋_GB2312"/>
          <w:sz w:val="32"/>
          <w:szCs w:val="32"/>
          <w:u w:val="single"/>
          <w:lang w:val="en-US" w:eastAsia="zh-CN"/>
        </w:rPr>
        <w:t>16.67%</w:t>
      </w:r>
      <w:r>
        <w:rPr>
          <w:rFonts w:hint="eastAsia" w:ascii="仿宋_GB2312" w:hAnsi="仿宋_GB2312" w:eastAsia="仿宋_GB2312" w:cs="仿宋_GB2312"/>
          <w:sz w:val="32"/>
          <w:szCs w:val="32"/>
          <w:lang w:val="en-US" w:eastAsia="zh-CN"/>
        </w:rPr>
        <w:t>。主要原因：一是2024年度新增12人及调整人员工资及重新核定社保基数，二是新增引进人才费用3万元</w:t>
      </w:r>
      <w:r>
        <w:rPr>
          <w:rFonts w:eastAsia="仿宋_GB2312"/>
          <w:sz w:val="32"/>
          <w:szCs w:val="32"/>
          <w:highlight w:val="none"/>
        </w:rPr>
        <w:t>。</w:t>
      </w:r>
    </w:p>
    <w:p w14:paraId="03F3CF73">
      <w:pPr>
        <w:pStyle w:val="8"/>
        <w:tabs>
          <w:tab w:val="left" w:pos="2671"/>
          <w:tab w:val="left" w:pos="5000"/>
          <w:tab w:val="left" w:pos="6190"/>
        </w:tabs>
        <w:spacing w:after="0" w:line="600" w:lineRule="exact"/>
        <w:ind w:firstLine="640" w:firstLineChars="200"/>
        <w:rPr>
          <w:rFonts w:hint="eastAsia" w:eastAsia="仿宋_GB2312"/>
          <w:sz w:val="32"/>
          <w:szCs w:val="32"/>
          <w:highlight w:val="none"/>
        </w:rPr>
      </w:pPr>
      <w:r>
        <w:rPr>
          <w:rFonts w:eastAsia="仿宋_GB2312"/>
          <w:sz w:val="32"/>
          <w:szCs w:val="32"/>
          <w:highlight w:val="none"/>
        </w:rPr>
        <w:t>（2）</w:t>
      </w:r>
      <w:r>
        <w:rPr>
          <w:rFonts w:hint="eastAsia" w:eastAsia="仿宋_GB2312"/>
          <w:sz w:val="32"/>
          <w:szCs w:val="32"/>
          <w:highlight w:val="none"/>
        </w:rPr>
        <w:t>卫生健康支出</w:t>
      </w:r>
      <w:r>
        <w:rPr>
          <w:rFonts w:hint="eastAsia" w:ascii="仿宋_GB2312" w:hAnsi="仿宋_GB2312" w:eastAsia="仿宋_GB2312" w:cs="仿宋_GB2312"/>
          <w:sz w:val="32"/>
          <w:szCs w:val="32"/>
          <w:lang w:val="en-US" w:eastAsia="zh-CN"/>
        </w:rPr>
        <w:t>（类）</w:t>
      </w:r>
      <w:r>
        <w:rPr>
          <w:rFonts w:hint="eastAsia" w:eastAsia="仿宋_GB2312"/>
          <w:sz w:val="32"/>
          <w:szCs w:val="32"/>
          <w:highlight w:val="none"/>
          <w:u w:val="single"/>
        </w:rPr>
        <w:t>3478.17</w:t>
      </w:r>
      <w:r>
        <w:rPr>
          <w:rFonts w:hint="eastAsia" w:eastAsia="仿宋_GB2312"/>
          <w:sz w:val="32"/>
          <w:szCs w:val="32"/>
          <w:highlight w:val="none"/>
        </w:rPr>
        <w:t>万元，</w:t>
      </w:r>
      <w:r>
        <w:rPr>
          <w:rFonts w:hint="eastAsia" w:ascii="仿宋_GB2312" w:hAnsi="仿宋_GB2312" w:eastAsia="仿宋_GB2312" w:cs="仿宋_GB2312"/>
          <w:sz w:val="32"/>
          <w:szCs w:val="32"/>
          <w:lang w:val="en-US" w:eastAsia="zh-CN"/>
        </w:rPr>
        <w:t>主要用于基础研究、应用研究、技术研究与开发、科技条件与服务、科技重大项目支出。</w:t>
      </w:r>
      <w:r>
        <w:rPr>
          <w:rFonts w:hint="eastAsia" w:eastAsia="仿宋_GB2312"/>
          <w:sz w:val="32"/>
          <w:szCs w:val="32"/>
          <w:highlight w:val="none"/>
        </w:rPr>
        <w:t>较上年增加</w:t>
      </w:r>
      <w:r>
        <w:rPr>
          <w:rFonts w:hint="eastAsia" w:eastAsia="仿宋_GB2312"/>
          <w:sz w:val="32"/>
          <w:szCs w:val="32"/>
          <w:highlight w:val="none"/>
          <w:u w:val="single"/>
        </w:rPr>
        <w:t>855.70</w:t>
      </w:r>
      <w:r>
        <w:rPr>
          <w:rFonts w:hint="eastAsia" w:eastAsia="仿宋_GB2312"/>
          <w:sz w:val="32"/>
          <w:szCs w:val="32"/>
          <w:highlight w:val="none"/>
        </w:rPr>
        <w:t>万元，增幅</w:t>
      </w:r>
      <w:r>
        <w:rPr>
          <w:rFonts w:hint="eastAsia" w:eastAsia="仿宋_GB2312"/>
          <w:sz w:val="32"/>
          <w:szCs w:val="32"/>
          <w:highlight w:val="none"/>
          <w:u w:val="single"/>
        </w:rPr>
        <w:t>32.63%</w:t>
      </w:r>
      <w:r>
        <w:rPr>
          <w:rFonts w:hint="eastAsia" w:eastAsia="仿宋_GB2312"/>
          <w:sz w:val="32"/>
          <w:szCs w:val="32"/>
          <w:highlight w:val="none"/>
        </w:rPr>
        <w:t>。主要原因：一是2025年自治区卫生健康管理工作任务增加，二是事业支出及事业单位经营支出增加。</w:t>
      </w:r>
    </w:p>
    <w:p w14:paraId="5ECEC611">
      <w:pPr>
        <w:pStyle w:val="8"/>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eastAsia="仿宋_GB2312"/>
          <w:sz w:val="32"/>
          <w:szCs w:val="32"/>
          <w:highlight w:val="none"/>
          <w:lang w:eastAsia="zh-CN"/>
        </w:rPr>
        <w:t>（</w:t>
      </w:r>
      <w:r>
        <w:rPr>
          <w:rFonts w:hint="eastAsia" w:eastAsia="仿宋_GB2312"/>
          <w:sz w:val="32"/>
          <w:szCs w:val="32"/>
          <w:highlight w:val="none"/>
          <w:lang w:val="en-US" w:eastAsia="zh-CN"/>
        </w:rPr>
        <w:t>3</w:t>
      </w:r>
      <w:r>
        <w:rPr>
          <w:rFonts w:hint="eastAsia" w:eastAsia="仿宋_GB2312"/>
          <w:sz w:val="32"/>
          <w:szCs w:val="32"/>
          <w:highlight w:val="none"/>
          <w:lang w:eastAsia="zh-CN"/>
        </w:rPr>
        <w:t>）</w:t>
      </w:r>
      <w:r>
        <w:rPr>
          <w:rFonts w:hint="eastAsia" w:ascii="仿宋_GB2312" w:hAnsi="仿宋_GB2312" w:eastAsia="仿宋_GB2312" w:cs="仿宋_GB2312"/>
          <w:sz w:val="32"/>
          <w:szCs w:val="32"/>
          <w:lang w:val="en-US" w:eastAsia="zh-CN"/>
        </w:rPr>
        <w:t>住房保障支出（类）</w:t>
      </w:r>
      <w:r>
        <w:rPr>
          <w:rFonts w:hint="eastAsia" w:eastAsia="仿宋_GB2312"/>
          <w:sz w:val="32"/>
          <w:szCs w:val="32"/>
          <w:highlight w:val="none"/>
          <w:u w:val="single"/>
          <w:lang w:val="en-US" w:eastAsia="zh-CN"/>
        </w:rPr>
        <w:t>88</w:t>
      </w:r>
      <w:r>
        <w:rPr>
          <w:rFonts w:hint="eastAsia" w:ascii="仿宋_GB2312" w:hAnsi="仿宋_GB2312" w:eastAsia="仿宋_GB2312" w:cs="仿宋_GB2312"/>
          <w:sz w:val="32"/>
          <w:szCs w:val="32"/>
          <w:lang w:val="en-US" w:eastAsia="zh-CN"/>
        </w:rPr>
        <w:t>万元，主要用于按照国家政策规定为职工缴纳的住房公积金。较上年增加</w:t>
      </w:r>
      <w:r>
        <w:rPr>
          <w:rFonts w:hint="eastAsia" w:eastAsia="仿宋_GB2312"/>
          <w:sz w:val="32"/>
          <w:szCs w:val="32"/>
          <w:highlight w:val="none"/>
          <w:u w:val="single"/>
          <w:lang w:val="en-US" w:eastAsia="zh-CN"/>
        </w:rPr>
        <w:t>10</w:t>
      </w:r>
      <w:r>
        <w:rPr>
          <w:rFonts w:hint="eastAsia" w:ascii="仿宋_GB2312" w:hAnsi="仿宋_GB2312" w:eastAsia="仿宋_GB2312" w:cs="仿宋_GB2312"/>
          <w:sz w:val="32"/>
          <w:szCs w:val="32"/>
          <w:lang w:val="en-US" w:eastAsia="zh-CN"/>
        </w:rPr>
        <w:t>万元，增幅</w:t>
      </w:r>
      <w:r>
        <w:rPr>
          <w:rFonts w:hint="eastAsia" w:eastAsia="仿宋_GB2312"/>
          <w:sz w:val="32"/>
          <w:szCs w:val="32"/>
          <w:highlight w:val="none"/>
          <w:u w:val="single"/>
          <w:lang w:val="en-US" w:eastAsia="zh-CN"/>
        </w:rPr>
        <w:t>14.71</w:t>
      </w:r>
      <w:r>
        <w:rPr>
          <w:rFonts w:hint="eastAsia" w:ascii="仿宋_GB2312" w:hAnsi="仿宋_GB2312" w:eastAsia="仿宋_GB2312" w:cs="仿宋_GB2312"/>
          <w:sz w:val="32"/>
          <w:szCs w:val="32"/>
          <w:lang w:val="en-US" w:eastAsia="zh-CN"/>
        </w:rPr>
        <w:t>%，主要原因为2024年度新增人员及调整人员工资和重新核定公积金基数。</w:t>
      </w:r>
    </w:p>
    <w:p w14:paraId="3B95F304">
      <w:pPr>
        <w:pStyle w:val="8"/>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（4）科学技术支出（类）</w:t>
      </w:r>
      <w:r>
        <w:rPr>
          <w:rFonts w:hint="eastAsia" w:eastAsia="仿宋_GB2312"/>
          <w:sz w:val="32"/>
          <w:szCs w:val="32"/>
          <w:highlight w:val="none"/>
          <w:u w:val="single"/>
          <w:lang w:val="en-US" w:eastAsia="zh-CN"/>
        </w:rPr>
        <w:t>60.93</w:t>
      </w:r>
      <w:r>
        <w:rPr>
          <w:rFonts w:hint="eastAsia" w:ascii="仿宋_GB2312" w:hAnsi="仿宋_GB2312" w:eastAsia="仿宋_GB2312" w:cs="仿宋_GB2312"/>
          <w:sz w:val="32"/>
          <w:szCs w:val="32"/>
          <w:lang w:val="en-US" w:eastAsia="zh-CN"/>
        </w:rPr>
        <w:t>万元，主要用于国家自然科学基金基础研究、科学技术研究中的其他应用研究、科学技术研究与开发中能够形成科技成果转化与扩散相关支出。较上年增加</w:t>
      </w:r>
      <w:r>
        <w:rPr>
          <w:rFonts w:hint="eastAsia" w:eastAsia="仿宋_GB2312"/>
          <w:sz w:val="32"/>
          <w:szCs w:val="32"/>
          <w:highlight w:val="none"/>
          <w:u w:val="single"/>
          <w:lang w:val="en-US" w:eastAsia="zh-CN"/>
        </w:rPr>
        <w:t>18.57</w:t>
      </w:r>
      <w:r>
        <w:rPr>
          <w:rFonts w:hint="eastAsia" w:ascii="仿宋_GB2312" w:hAnsi="仿宋_GB2312" w:eastAsia="仿宋_GB2312" w:cs="仿宋_GB2312"/>
          <w:sz w:val="32"/>
          <w:szCs w:val="32"/>
          <w:lang w:val="en-US" w:eastAsia="zh-CN"/>
        </w:rPr>
        <w:t>万元，增幅</w:t>
      </w:r>
      <w:r>
        <w:rPr>
          <w:rFonts w:hint="eastAsia" w:eastAsia="仿宋_GB2312"/>
          <w:sz w:val="32"/>
          <w:szCs w:val="32"/>
          <w:highlight w:val="none"/>
          <w:u w:val="single"/>
          <w:lang w:val="en-US" w:eastAsia="zh-CN"/>
        </w:rPr>
        <w:t>43.84</w:t>
      </w:r>
      <w:r>
        <w:rPr>
          <w:rFonts w:hint="eastAsia" w:ascii="仿宋_GB2312" w:hAnsi="仿宋_GB2312" w:eastAsia="仿宋_GB2312" w:cs="仿宋_GB2312"/>
          <w:sz w:val="32"/>
          <w:szCs w:val="32"/>
          <w:lang w:val="en-US" w:eastAsia="zh-CN"/>
        </w:rPr>
        <w:t>%。主要原因为：2024年新增2项科研任务。</w:t>
      </w:r>
    </w:p>
    <w:p w14:paraId="2DA444B2">
      <w:pPr>
        <w:pStyle w:val="8"/>
        <w:tabs>
          <w:tab w:val="left" w:pos="4112"/>
        </w:tabs>
        <w:spacing w:after="0" w:line="600" w:lineRule="exact"/>
        <w:ind w:firstLine="640" w:firstLineChars="200"/>
        <w:rPr>
          <w:rFonts w:eastAsia="仿宋_GB2312"/>
          <w:sz w:val="32"/>
          <w:szCs w:val="32"/>
          <w:highlight w:val="none"/>
        </w:rPr>
      </w:pPr>
      <w:r>
        <w:rPr>
          <w:rFonts w:eastAsia="仿宋_GB2312"/>
          <w:sz w:val="32"/>
          <w:szCs w:val="32"/>
          <w:highlight w:val="none"/>
        </w:rPr>
        <w:t>2．年终结转结余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6D4D415C">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二、收入预算情况说明</w:t>
      </w:r>
    </w:p>
    <w:p w14:paraId="5AFA1132">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lang w:val="en-US" w:eastAsia="zh-CN"/>
        </w:rPr>
        <w:t>2025</w:t>
      </w:r>
      <w:r>
        <w:rPr>
          <w:rFonts w:hint="eastAsia" w:ascii="仿宋_GB2312" w:hAnsi="仿宋_GB2312" w:eastAsia="仿宋_GB2312" w:cs="仿宋_GB2312"/>
          <w:sz w:val="32"/>
          <w:szCs w:val="32"/>
          <w:highlight w:val="none"/>
        </w:rPr>
        <w:t>年度</w:t>
      </w:r>
      <w:r>
        <w:rPr>
          <w:rFonts w:eastAsia="仿宋_GB2312"/>
          <w:sz w:val="32"/>
          <w:szCs w:val="32"/>
          <w:highlight w:val="none"/>
        </w:rPr>
        <w:t>收入预算</w:t>
      </w:r>
      <w:r>
        <w:rPr>
          <w:rFonts w:hint="eastAsia" w:eastAsia="仿宋_GB2312"/>
          <w:sz w:val="32"/>
          <w:szCs w:val="32"/>
          <w:highlight w:val="none"/>
          <w:lang w:val="en-US" w:eastAsia="zh-CN"/>
        </w:rPr>
        <w:t>总</w:t>
      </w:r>
      <w:r>
        <w:rPr>
          <w:rFonts w:eastAsia="仿宋_GB2312"/>
          <w:sz w:val="32"/>
          <w:szCs w:val="32"/>
          <w:highlight w:val="none"/>
        </w:rPr>
        <w:t>计</w:t>
      </w:r>
      <w:r>
        <w:rPr>
          <w:rFonts w:hint="eastAsia" w:eastAsia="仿宋_GB2312"/>
          <w:sz w:val="32"/>
          <w:szCs w:val="32"/>
          <w:highlight w:val="none"/>
          <w:u w:val="single"/>
          <w:lang w:val="en-US" w:eastAsia="zh-CN"/>
        </w:rPr>
        <w:t xml:space="preserve">3774.10 </w:t>
      </w:r>
      <w:r>
        <w:rPr>
          <w:rFonts w:eastAsia="仿宋_GB2312"/>
          <w:sz w:val="32"/>
          <w:szCs w:val="32"/>
          <w:highlight w:val="none"/>
        </w:rPr>
        <w:t>万元，包括本年收入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3677.51</w:t>
      </w:r>
      <w:r>
        <w:rPr>
          <w:rFonts w:eastAsia="仿宋_GB2312"/>
          <w:sz w:val="32"/>
          <w:szCs w:val="32"/>
          <w:highlight w:val="none"/>
          <w:u w:val="single"/>
        </w:rPr>
        <w:t xml:space="preserve">  </w:t>
      </w:r>
      <w:r>
        <w:rPr>
          <w:rFonts w:eastAsia="仿宋_GB2312"/>
          <w:sz w:val="32"/>
          <w:szCs w:val="32"/>
          <w:highlight w:val="none"/>
        </w:rPr>
        <w:t>万元，上年结转结余</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96.59</w:t>
      </w:r>
      <w:r>
        <w:rPr>
          <w:rFonts w:eastAsia="仿宋_GB2312"/>
          <w:sz w:val="32"/>
          <w:szCs w:val="32"/>
          <w:highlight w:val="none"/>
          <w:u w:val="single"/>
        </w:rPr>
        <w:t xml:space="preserve">   </w:t>
      </w:r>
      <w:r>
        <w:rPr>
          <w:rFonts w:eastAsia="仿宋_GB2312"/>
          <w:sz w:val="32"/>
          <w:szCs w:val="32"/>
          <w:highlight w:val="none"/>
        </w:rPr>
        <w:t>万元。其中：</w:t>
      </w:r>
    </w:p>
    <w:p w14:paraId="5CEB963C">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本年一般公共预算收入</w:t>
      </w:r>
      <w:r>
        <w:rPr>
          <w:rFonts w:eastAsia="仿宋_GB2312"/>
          <w:sz w:val="32"/>
          <w:szCs w:val="32"/>
          <w:highlight w:val="none"/>
          <w:u w:val="single"/>
        </w:rPr>
        <w:t xml:space="preserve">  </w:t>
      </w:r>
      <w:r>
        <w:rPr>
          <w:rFonts w:hint="eastAsia" w:eastAsia="仿宋_GB2312"/>
          <w:sz w:val="32"/>
          <w:szCs w:val="32"/>
          <w:highlight w:val="none"/>
          <w:u w:val="single"/>
        </w:rPr>
        <w:t>1774.30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47.01</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61C428D">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本年政府性基金预算收入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67E519C">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本年国有资本经营预算收入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40083BB">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本年财政专户管理资金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6BC9973">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本年事业收入</w:t>
      </w:r>
      <w:r>
        <w:rPr>
          <w:rFonts w:eastAsia="仿宋_GB2312"/>
          <w:sz w:val="32"/>
          <w:szCs w:val="32"/>
          <w:highlight w:val="none"/>
          <w:u w:val="single"/>
        </w:rPr>
        <w:t xml:space="preserve">  </w:t>
      </w:r>
      <w:r>
        <w:rPr>
          <w:rFonts w:hint="eastAsia" w:eastAsia="仿宋_GB2312"/>
          <w:sz w:val="32"/>
          <w:szCs w:val="32"/>
          <w:highlight w:val="none"/>
          <w:u w:val="single"/>
        </w:rPr>
        <w:t>512.56</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13.58</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F4A0672">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本年事业单位经营收入</w:t>
      </w:r>
      <w:r>
        <w:rPr>
          <w:rFonts w:eastAsia="仿宋_GB2312"/>
          <w:sz w:val="32"/>
          <w:szCs w:val="32"/>
          <w:highlight w:val="none"/>
          <w:u w:val="single"/>
        </w:rPr>
        <w:t xml:space="preserve">  </w:t>
      </w:r>
      <w:r>
        <w:rPr>
          <w:rFonts w:hint="eastAsia" w:eastAsia="仿宋_GB2312"/>
          <w:sz w:val="32"/>
          <w:szCs w:val="32"/>
          <w:highlight w:val="none"/>
          <w:u w:val="single"/>
        </w:rPr>
        <w:t>1390.65</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36.85</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BBCCEB7">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本年上级补助收入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A22ECD4">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本年附属单位上缴收入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542A3ED">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本年其他收入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431FC233">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上年结转结余的一般公共预算收入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96.59</w:t>
      </w:r>
      <w:r>
        <w:rPr>
          <w:rFonts w:eastAsia="仿宋_GB2312"/>
          <w:sz w:val="32"/>
          <w:szCs w:val="32"/>
          <w:highlight w:val="none"/>
          <w:u w:val="single"/>
        </w:rPr>
        <w:t xml:space="preserve">  </w:t>
      </w:r>
      <w:r>
        <w:rPr>
          <w:rFonts w:eastAsia="仿宋_GB2312"/>
          <w:sz w:val="32"/>
          <w:szCs w:val="32"/>
          <w:highlight w:val="none"/>
        </w:rPr>
        <w:t>万元，占</w:t>
      </w:r>
    </w:p>
    <w:p w14:paraId="17625C8B">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u w:val="single"/>
          <w:lang w:val="en-US" w:eastAsia="zh-CN"/>
        </w:rPr>
        <w:t>2.56</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133FF33">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上年结转结余的政府性基金预算收入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0A8E3CB9">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上年结转结余的国有资本经营预算收入</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47574EA">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上年结转结余的财政专户管理资金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9E2DB28">
      <w:pPr>
        <w:pStyle w:val="8"/>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上年结转结余的单位资金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14:paraId="19DFDF60">
      <w:pPr>
        <w:pStyle w:val="8"/>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（按照“公开表02表收入总表”中的明细项填列，为零项不得删除</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355CB257">
      <w:pPr>
        <w:pStyle w:val="18"/>
        <w:tabs>
          <w:tab w:val="left" w:pos="0"/>
        </w:tabs>
        <w:ind w:left="0" w:leftChars="0" w:firstLine="0"/>
        <w:jc w:val="center"/>
        <w:rPr>
          <w:rFonts w:eastAsia="仿宋_GB2312"/>
          <w:sz w:val="32"/>
          <w:szCs w:val="32"/>
          <w:highlight w:val="none"/>
        </w:rPr>
      </w:pPr>
      <w:r>
        <w:rPr>
          <w:rFonts w:hint="eastAsia" w:ascii="仿宋_GB2312" w:hAnsi="仿宋_GB2312" w:eastAsia="仿宋_GB2312" w:cs="仿宋_GB2312"/>
          <w:sz w:val="32"/>
          <w:szCs w:val="32"/>
          <w:lang w:val="en-US" w:eastAsia="zh-CN"/>
        </w:rPr>
        <w:drawing>
          <wp:anchor distT="0" distB="0" distL="114300" distR="114300" simplePos="0" relativeHeight="251659264" behindDoc="0" locked="0" layoutInCell="1" allowOverlap="1">
            <wp:simplePos x="0" y="0"/>
            <wp:positionH relativeFrom="column">
              <wp:posOffset>266065</wp:posOffset>
            </wp:positionH>
            <wp:positionV relativeFrom="paragraph">
              <wp:posOffset>191135</wp:posOffset>
            </wp:positionV>
            <wp:extent cx="5239385" cy="2719070"/>
            <wp:effectExtent l="4445" t="4445" r="13970" b="19685"/>
            <wp:wrapTopAndBottom/>
            <wp:docPr id="6" name="图表 6"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2FFDD6E8">
      <w:pPr>
        <w:pStyle w:val="18"/>
        <w:tabs>
          <w:tab w:val="left" w:pos="0"/>
        </w:tabs>
        <w:ind w:left="0" w:leftChars="0" w:firstLine="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图1.收入预算图</w:t>
      </w:r>
    </w:p>
    <w:p w14:paraId="7E9059CC">
      <w:pPr>
        <w:pStyle w:val="18"/>
        <w:tabs>
          <w:tab w:val="left" w:pos="0"/>
        </w:tabs>
        <w:ind w:left="0" w:leftChars="0" w:firstLine="0"/>
        <w:jc w:val="center"/>
        <w:rPr>
          <w:rFonts w:hint="eastAsia" w:ascii="Times New Roman" w:hAnsi="Times New Roman" w:eastAsia="仿宋_GB2312" w:cs="仿宋"/>
          <w:sz w:val="32"/>
          <w:szCs w:val="32"/>
          <w:highlight w:val="none"/>
          <w:lang w:eastAsia="zh-CN"/>
        </w:rPr>
      </w:pPr>
    </w:p>
    <w:p w14:paraId="5FFCB74D">
      <w:pPr>
        <w:rPr>
          <w:rFonts w:hint="eastAsia" w:eastAsia="黑体" w:cs="黑体"/>
          <w:sz w:val="32"/>
          <w:szCs w:val="36"/>
          <w:highlight w:val="none"/>
        </w:rPr>
      </w:pPr>
      <w:r>
        <w:rPr>
          <w:rFonts w:hint="eastAsia" w:eastAsia="黑体" w:cs="黑体"/>
          <w:sz w:val="32"/>
          <w:szCs w:val="36"/>
          <w:highlight w:val="none"/>
        </w:rPr>
        <w:br w:type="page"/>
      </w:r>
    </w:p>
    <w:p w14:paraId="2D9AAA1B">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三、支出预算情况说明</w:t>
      </w:r>
    </w:p>
    <w:p w14:paraId="7E0C7622">
      <w:pPr>
        <w:pStyle w:val="8"/>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eastAsia="仿宋_GB2312"/>
          <w:sz w:val="32"/>
          <w:szCs w:val="32"/>
          <w:highlight w:val="none"/>
          <w:u w:val="single"/>
        </w:rPr>
        <w:t xml:space="preserve">     </w:t>
      </w:r>
      <w:r>
        <w:rPr>
          <w:rFonts w:hint="eastAsia" w:ascii="仿宋_GB2312" w:hAnsi="仿宋_GB2312" w:eastAsia="仿宋_GB2312" w:cs="仿宋_GB2312"/>
          <w:sz w:val="32"/>
          <w:szCs w:val="32"/>
          <w:u w:val="single"/>
          <w:lang w:val="en-US" w:eastAsia="zh-CN"/>
        </w:rPr>
        <w:t>3774.10</w:t>
      </w:r>
      <w:r>
        <w:rPr>
          <w:rFonts w:eastAsia="仿宋_GB2312"/>
          <w:sz w:val="32"/>
          <w:szCs w:val="32"/>
          <w:highlight w:val="none"/>
        </w:rPr>
        <w:t>万元，其中</w:t>
      </w:r>
      <w:r>
        <w:rPr>
          <w:rFonts w:hint="eastAsia" w:eastAsia="仿宋_GB2312"/>
          <w:sz w:val="32"/>
          <w:szCs w:val="32"/>
          <w:highlight w:val="none"/>
          <w:lang w:eastAsia="zh-CN"/>
        </w:rPr>
        <w:t>：</w:t>
      </w:r>
    </w:p>
    <w:p w14:paraId="33C917F1">
      <w:pPr>
        <w:pStyle w:val="8"/>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基本支出</w:t>
      </w:r>
      <w:r>
        <w:rPr>
          <w:rFonts w:eastAsia="仿宋_GB2312"/>
          <w:sz w:val="32"/>
          <w:szCs w:val="32"/>
          <w:highlight w:val="none"/>
          <w:u w:val="single"/>
        </w:rPr>
        <w:t xml:space="preserve">      </w:t>
      </w:r>
      <w:r>
        <w:rPr>
          <w:rFonts w:hint="eastAsia" w:eastAsia="仿宋_GB2312"/>
          <w:sz w:val="32"/>
          <w:szCs w:val="32"/>
          <w:highlight w:val="none"/>
          <w:u w:val="single"/>
        </w:rPr>
        <w:t>2836.51</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rPr>
        <w:t>75.16</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14:paraId="44E6C1A6">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项目支出</w:t>
      </w:r>
      <w:r>
        <w:rPr>
          <w:rFonts w:eastAsia="仿宋_GB2312"/>
          <w:sz w:val="32"/>
          <w:szCs w:val="32"/>
          <w:highlight w:val="none"/>
          <w:u w:val="single"/>
        </w:rPr>
        <w:t xml:space="preserve">      </w:t>
      </w:r>
      <w:r>
        <w:rPr>
          <w:rFonts w:hint="eastAsia" w:eastAsia="仿宋_GB2312"/>
          <w:sz w:val="32"/>
          <w:szCs w:val="32"/>
          <w:highlight w:val="none"/>
          <w:u w:val="single"/>
        </w:rPr>
        <w:t>937.59</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w:t>
      </w:r>
      <w:r>
        <w:rPr>
          <w:rFonts w:hint="eastAsia" w:eastAsia="仿宋_GB2312"/>
          <w:sz w:val="32"/>
          <w:szCs w:val="32"/>
          <w:highlight w:val="none"/>
          <w:u w:val="single"/>
        </w:rPr>
        <w:t>24.84</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2911A9BA">
      <w:pPr>
        <w:pStyle w:val="8"/>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事业单位经营支出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420CD3DC">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上缴上级支出</w:t>
      </w:r>
      <w:r>
        <w:rPr>
          <w:rFonts w:eastAsia="仿宋_GB2312"/>
          <w:sz w:val="32"/>
          <w:szCs w:val="32"/>
          <w:highlight w:val="non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9329BAF">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对附属单位补助支出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E24D522">
      <w:pPr>
        <w:pStyle w:val="18"/>
        <w:ind w:left="0" w:leftChars="0" w:firstLine="220"/>
        <w:jc w:val="center"/>
        <w:rPr>
          <w:rFonts w:hint="default" w:eastAsia="仿宋_GB2312"/>
          <w:sz w:val="32"/>
          <w:szCs w:val="32"/>
          <w:highlight w:val="none"/>
        </w:rPr>
      </w:pPr>
      <w:r>
        <w:rPr>
          <w:rFonts w:hint="eastAsia" w:ascii="仿宋_GB2312" w:hAnsi="仿宋_GB2312" w:eastAsia="仿宋_GB2312" w:cs="仿宋_GB2312"/>
          <w:sz w:val="32"/>
          <w:szCs w:val="32"/>
          <w:lang w:val="en-US" w:eastAsia="zh-CN"/>
        </w:rPr>
        <w:drawing>
          <wp:anchor distT="0" distB="0" distL="114300" distR="114300" simplePos="0" relativeHeight="251662336" behindDoc="0" locked="0" layoutInCell="1" allowOverlap="1">
            <wp:simplePos x="0" y="0"/>
            <wp:positionH relativeFrom="column">
              <wp:posOffset>421640</wp:posOffset>
            </wp:positionH>
            <wp:positionV relativeFrom="paragraph">
              <wp:posOffset>217805</wp:posOffset>
            </wp:positionV>
            <wp:extent cx="5018405" cy="2016760"/>
            <wp:effectExtent l="5080" t="4445" r="5715" b="17145"/>
            <wp:wrapTopAndBottom/>
            <wp:docPr id="7" name="图表 7"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7DAC1377">
      <w:pPr>
        <w:pStyle w:val="18"/>
        <w:ind w:left="0" w:leftChars="0" w:firstLine="220"/>
        <w:jc w:val="center"/>
        <w:rPr>
          <w:rFonts w:hint="default"/>
          <w:highlight w:val="none"/>
        </w:rPr>
      </w:pPr>
      <w:r>
        <w:rPr>
          <w:rFonts w:eastAsia="仿宋_GB2312"/>
          <w:sz w:val="32"/>
          <w:szCs w:val="32"/>
          <w:highlight w:val="none"/>
        </w:rPr>
        <w:t>图2.支出预算图</w:t>
      </w:r>
    </w:p>
    <w:p w14:paraId="39B32D6A">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p>
    <w:p w14:paraId="159F374B">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14:paraId="4692ACE3">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年度财政拨款收、支总预算</w:t>
      </w:r>
      <w:r>
        <w:rPr>
          <w:rFonts w:eastAsia="仿宋_GB2312"/>
          <w:sz w:val="32"/>
          <w:szCs w:val="32"/>
          <w:highlight w:val="none"/>
          <w:u w:val="single"/>
        </w:rPr>
        <w:t xml:space="preserve"> </w:t>
      </w:r>
      <w:r>
        <w:rPr>
          <w:rFonts w:hint="eastAsia" w:eastAsia="仿宋_GB2312"/>
          <w:sz w:val="32"/>
          <w:szCs w:val="32"/>
          <w:highlight w:val="none"/>
          <w:u w:val="single"/>
        </w:rPr>
        <w:t>3774.10</w:t>
      </w:r>
      <w:r>
        <w:rPr>
          <w:rFonts w:eastAsia="仿宋_GB2312"/>
          <w:sz w:val="32"/>
          <w:szCs w:val="32"/>
          <w:highlight w:val="none"/>
          <w:u w:val="single"/>
        </w:rPr>
        <w:t xml:space="preserve"> </w:t>
      </w:r>
      <w:r>
        <w:rPr>
          <w:rFonts w:eastAsia="仿宋_GB2312"/>
          <w:sz w:val="32"/>
          <w:szCs w:val="32"/>
          <w:highlight w:val="none"/>
        </w:rPr>
        <w:t>万元。与上年相比，财政拨款收、支总计各增加</w:t>
      </w:r>
      <w:r>
        <w:rPr>
          <w:rFonts w:eastAsia="仿宋_GB2312"/>
          <w:sz w:val="32"/>
          <w:szCs w:val="32"/>
          <w:highlight w:val="none"/>
          <w:u w:val="single"/>
        </w:rPr>
        <w:t xml:space="preserve">  </w:t>
      </w:r>
      <w:r>
        <w:rPr>
          <w:rFonts w:hint="eastAsia" w:eastAsia="仿宋_GB2312"/>
          <w:sz w:val="32"/>
          <w:szCs w:val="32"/>
          <w:highlight w:val="none"/>
          <w:u w:val="single"/>
        </w:rPr>
        <w:t>957.63</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34</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rPr>
        <w:t>其中：一般公共预算财政拨款1774.30万元，上年结转96.59万元。占比49.57%，较上年增加221.42万元，增幅13.42%。增减变动主要原因为：一是2025年自治区卫生健康管理工作任务（专科建设）增加导致一般公共预算项目收入增加，二是上年度中央项目-医疗服务与保障能力建设两年期项目任务完成提前，部分支出提前支出完成</w:t>
      </w:r>
      <w:r>
        <w:rPr>
          <w:rFonts w:eastAsia="仿宋_GB2312"/>
          <w:sz w:val="32"/>
          <w:szCs w:val="32"/>
          <w:highlight w:val="none"/>
        </w:rPr>
        <w:t>。</w:t>
      </w:r>
    </w:p>
    <w:p w14:paraId="663E65F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2024年单位预算中，财政拨款支出数为</w:t>
      </w:r>
      <w:r>
        <w:rPr>
          <w:rFonts w:hint="default" w:ascii="Times New Roman" w:hAnsi="Times New Roman" w:eastAsia="仿宋_GB2312" w:cs="Times New Roman"/>
          <w:sz w:val="32"/>
          <w:szCs w:val="32"/>
          <w:u w:val="single"/>
          <w:lang w:val="en-US" w:eastAsia="zh-CN"/>
        </w:rPr>
        <w:t>3774.10</w:t>
      </w:r>
      <w:r>
        <w:rPr>
          <w:rFonts w:hint="eastAsia" w:ascii="仿宋_GB2312" w:hAnsi="仿宋_GB2312" w:eastAsia="仿宋_GB2312" w:cs="仿宋_GB2312"/>
          <w:sz w:val="32"/>
          <w:szCs w:val="32"/>
          <w:lang w:val="en-US" w:eastAsia="zh-CN"/>
        </w:rPr>
        <w:t>万元，用于以下方面：</w:t>
      </w:r>
    </w:p>
    <w:p w14:paraId="07CB06B1">
      <w:pPr>
        <w:keepNext w:val="0"/>
        <w:keepLines w:val="0"/>
        <w:pageBreakBefore w:val="0"/>
        <w:numPr>
          <w:ilvl w:val="0"/>
          <w:numId w:val="0"/>
        </w:numPr>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sz w:val="32"/>
          <w:szCs w:val="32"/>
          <w:lang w:val="en-US" w:eastAsia="zh-CN"/>
        </w:rPr>
        <w:t>社会保障和就业支出</w:t>
      </w:r>
      <w:r>
        <w:rPr>
          <w:rFonts w:hint="default" w:ascii="Times New Roman" w:hAnsi="Times New Roman" w:eastAsia="仿宋_GB2312" w:cs="Times New Roman"/>
          <w:sz w:val="32"/>
          <w:szCs w:val="32"/>
          <w:u w:val="single"/>
          <w:lang w:val="en-US" w:eastAsia="zh-CN"/>
        </w:rPr>
        <w:t>147</w:t>
      </w:r>
      <w:r>
        <w:rPr>
          <w:rFonts w:hint="eastAsia" w:ascii="仿宋_GB2312" w:hAnsi="仿宋_GB2312" w:eastAsia="仿宋_GB2312" w:cs="仿宋_GB2312"/>
          <w:sz w:val="32"/>
          <w:szCs w:val="32"/>
          <w:lang w:val="en-US" w:eastAsia="zh-CN"/>
        </w:rPr>
        <w:t>万元，占支出</w:t>
      </w:r>
      <w:r>
        <w:rPr>
          <w:rFonts w:hint="default" w:ascii="Times New Roman" w:hAnsi="Times New Roman" w:eastAsia="仿宋_GB2312" w:cs="Times New Roman"/>
          <w:sz w:val="32"/>
          <w:szCs w:val="32"/>
          <w:u w:val="single"/>
          <w:lang w:val="en-US" w:eastAsia="zh-CN"/>
        </w:rPr>
        <w:t>3.89</w:t>
      </w:r>
      <w:r>
        <w:rPr>
          <w:rFonts w:hint="eastAsia" w:ascii="仿宋_GB2312" w:hAnsi="仿宋_GB2312" w:eastAsia="仿宋_GB2312" w:cs="仿宋_GB2312"/>
          <w:sz w:val="32"/>
          <w:szCs w:val="32"/>
          <w:lang w:val="en-US" w:eastAsia="zh-CN"/>
        </w:rPr>
        <w:t>%；</w:t>
      </w:r>
    </w:p>
    <w:p w14:paraId="3FFE7467">
      <w:pPr>
        <w:keepNext w:val="0"/>
        <w:keepLines w:val="0"/>
        <w:pageBreakBefore w:val="0"/>
        <w:numPr>
          <w:ilvl w:val="0"/>
          <w:numId w:val="0"/>
        </w:numPr>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en-US" w:eastAsia="zh-CN"/>
        </w:rPr>
        <w:t>卫生健康支出</w:t>
      </w:r>
      <w:r>
        <w:rPr>
          <w:rFonts w:hint="default" w:ascii="Times New Roman" w:hAnsi="Times New Roman" w:eastAsia="仿宋_GB2312" w:cs="Times New Roman"/>
          <w:sz w:val="32"/>
          <w:szCs w:val="32"/>
          <w:u w:val="single"/>
          <w:lang w:val="en-US" w:eastAsia="zh-CN"/>
        </w:rPr>
        <w:t>3478.17</w:t>
      </w:r>
      <w:r>
        <w:rPr>
          <w:rFonts w:hint="eastAsia" w:ascii="仿宋_GB2312" w:hAnsi="仿宋_GB2312" w:eastAsia="仿宋_GB2312" w:cs="仿宋_GB2312"/>
          <w:sz w:val="32"/>
          <w:szCs w:val="32"/>
          <w:lang w:val="en-US" w:eastAsia="zh-CN"/>
        </w:rPr>
        <w:t>万元，占支出</w:t>
      </w:r>
      <w:r>
        <w:rPr>
          <w:rFonts w:hint="default" w:ascii="Times New Roman" w:hAnsi="Times New Roman" w:eastAsia="仿宋_GB2312" w:cs="Times New Roman"/>
          <w:sz w:val="32"/>
          <w:szCs w:val="32"/>
          <w:u w:val="single"/>
          <w:lang w:val="en-US" w:eastAsia="zh-CN"/>
        </w:rPr>
        <w:t>92.16</w:t>
      </w:r>
      <w:r>
        <w:rPr>
          <w:rFonts w:hint="eastAsia" w:ascii="仿宋_GB2312" w:hAnsi="仿宋_GB2312" w:eastAsia="仿宋_GB2312" w:cs="仿宋_GB2312"/>
          <w:sz w:val="32"/>
          <w:szCs w:val="32"/>
          <w:lang w:val="en-US" w:eastAsia="zh-CN"/>
        </w:rPr>
        <w:t>%；</w:t>
      </w:r>
    </w:p>
    <w:p w14:paraId="6599CE1F">
      <w:pPr>
        <w:keepNext w:val="0"/>
        <w:keepLines w:val="0"/>
        <w:pageBreakBefore w:val="0"/>
        <w:numPr>
          <w:ilvl w:val="0"/>
          <w:numId w:val="0"/>
        </w:numPr>
        <w:kinsoku/>
        <w:wordWrap/>
        <w:overflowPunct/>
        <w:topLinePunct w:val="0"/>
        <w:autoSpaceDE/>
        <w:autoSpaceDN/>
        <w:bidi w:val="0"/>
        <w:adjustRightInd/>
        <w:snapToGrid/>
        <w:spacing w:line="560" w:lineRule="exact"/>
        <w:ind w:left="630" w:leftChars="300"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lang w:val="en-US" w:eastAsia="zh-CN"/>
        </w:rPr>
        <w:t>住房保障支出</w:t>
      </w:r>
      <w:r>
        <w:rPr>
          <w:rFonts w:hint="default" w:ascii="Times New Roman" w:hAnsi="Times New Roman" w:eastAsia="仿宋_GB2312" w:cs="Times New Roman"/>
          <w:sz w:val="32"/>
          <w:szCs w:val="32"/>
          <w:u w:val="single"/>
          <w:lang w:val="en-US" w:eastAsia="zh-CN"/>
        </w:rPr>
        <w:t>88</w:t>
      </w:r>
      <w:r>
        <w:rPr>
          <w:rFonts w:hint="eastAsia" w:ascii="仿宋_GB2312" w:hAnsi="仿宋_GB2312" w:eastAsia="仿宋_GB2312" w:cs="仿宋_GB2312"/>
          <w:sz w:val="32"/>
          <w:szCs w:val="32"/>
          <w:lang w:val="en-US" w:eastAsia="zh-CN"/>
        </w:rPr>
        <w:t>万元，占支出</w:t>
      </w:r>
      <w:r>
        <w:rPr>
          <w:rFonts w:hint="default" w:ascii="Times New Roman" w:hAnsi="Times New Roman" w:eastAsia="仿宋_GB2312" w:cs="Times New Roman"/>
          <w:sz w:val="32"/>
          <w:szCs w:val="32"/>
          <w:u w:val="single"/>
          <w:lang w:val="en-US" w:eastAsia="zh-CN"/>
        </w:rPr>
        <w:t>2.33</w:t>
      </w:r>
      <w:r>
        <w:rPr>
          <w:rFonts w:hint="eastAsia" w:ascii="仿宋_GB2312" w:hAnsi="仿宋_GB2312" w:eastAsia="仿宋_GB2312" w:cs="仿宋_GB2312"/>
          <w:sz w:val="32"/>
          <w:szCs w:val="32"/>
          <w:lang w:val="en-US" w:eastAsia="zh-CN"/>
        </w:rPr>
        <w:t>%；</w:t>
      </w:r>
    </w:p>
    <w:p w14:paraId="2215CA6F">
      <w:pPr>
        <w:pStyle w:val="8"/>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sz w:val="32"/>
          <w:szCs w:val="32"/>
          <w:lang w:val="en-US" w:eastAsia="zh-CN"/>
        </w:rPr>
        <w:t>科学技术支出</w:t>
      </w:r>
      <w:r>
        <w:rPr>
          <w:rFonts w:hint="default" w:ascii="Times New Roman" w:hAnsi="Times New Roman" w:eastAsia="仿宋_GB2312" w:cs="Times New Roman"/>
          <w:sz w:val="32"/>
          <w:szCs w:val="32"/>
          <w:u w:val="single"/>
          <w:lang w:val="en-US" w:eastAsia="zh-CN"/>
        </w:rPr>
        <w:t>60.93</w:t>
      </w:r>
      <w:r>
        <w:rPr>
          <w:rFonts w:hint="eastAsia" w:ascii="仿宋_GB2312" w:hAnsi="仿宋_GB2312" w:eastAsia="仿宋_GB2312" w:cs="仿宋_GB2312"/>
          <w:sz w:val="32"/>
          <w:szCs w:val="32"/>
          <w:lang w:val="en-US" w:eastAsia="zh-CN"/>
        </w:rPr>
        <w:t>万元，占支出</w:t>
      </w:r>
      <w:r>
        <w:rPr>
          <w:rFonts w:hint="default" w:ascii="Times New Roman" w:hAnsi="Times New Roman" w:eastAsia="仿宋_GB2312" w:cs="Times New Roman"/>
          <w:sz w:val="32"/>
          <w:szCs w:val="32"/>
          <w:u w:val="single"/>
          <w:lang w:val="en-US" w:eastAsia="zh-CN"/>
        </w:rPr>
        <w:t>1.62</w:t>
      </w:r>
      <w:r>
        <w:rPr>
          <w:rFonts w:hint="eastAsia" w:ascii="仿宋_GB2312" w:hAnsi="仿宋_GB2312" w:eastAsia="仿宋_GB2312" w:cs="仿宋_GB2312"/>
          <w:sz w:val="32"/>
          <w:szCs w:val="32"/>
          <w:lang w:val="en-US" w:eastAsia="zh-CN"/>
        </w:rPr>
        <w:t>%。</w:t>
      </w:r>
    </w:p>
    <w:p w14:paraId="1190CC83">
      <w:pPr>
        <w:pStyle w:val="8"/>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anchor distT="0" distB="0" distL="114300" distR="114300" simplePos="0" relativeHeight="251663360" behindDoc="0" locked="0" layoutInCell="1" allowOverlap="1">
            <wp:simplePos x="0" y="0"/>
            <wp:positionH relativeFrom="column">
              <wp:posOffset>172720</wp:posOffset>
            </wp:positionH>
            <wp:positionV relativeFrom="paragraph">
              <wp:posOffset>119380</wp:posOffset>
            </wp:positionV>
            <wp:extent cx="5256530" cy="2397760"/>
            <wp:effectExtent l="4445" t="4445" r="15875" b="1714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430A10CE">
      <w:pPr>
        <w:pStyle w:val="18"/>
        <w:ind w:left="0" w:leftChars="0" w:firstLine="220"/>
        <w:jc w:val="center"/>
        <w:rPr>
          <w:rFonts w:hint="default"/>
          <w:highlight w:val="none"/>
        </w:rPr>
      </w:pPr>
      <w:r>
        <w:rPr>
          <w:rFonts w:eastAsia="仿宋_GB2312"/>
          <w:sz w:val="32"/>
          <w:szCs w:val="32"/>
          <w:highlight w:val="none"/>
        </w:rPr>
        <w:t>图</w:t>
      </w:r>
      <w:r>
        <w:rPr>
          <w:rFonts w:hint="eastAsia" w:eastAsia="仿宋_GB2312"/>
          <w:sz w:val="32"/>
          <w:szCs w:val="32"/>
          <w:highlight w:val="none"/>
          <w:lang w:val="en-US" w:eastAsia="zh-CN"/>
        </w:rPr>
        <w:t>3</w:t>
      </w:r>
      <w:r>
        <w:rPr>
          <w:rFonts w:eastAsia="仿宋_GB2312"/>
          <w:sz w:val="32"/>
          <w:szCs w:val="32"/>
          <w:highlight w:val="none"/>
        </w:rPr>
        <w:t>.</w:t>
      </w:r>
      <w:r>
        <w:rPr>
          <w:rFonts w:hint="eastAsia" w:eastAsia="仿宋_GB2312"/>
          <w:sz w:val="32"/>
          <w:szCs w:val="32"/>
          <w:highlight w:val="none"/>
          <w:lang w:val="en-US" w:eastAsia="zh-CN"/>
        </w:rPr>
        <w:t>财政拨款比重</w:t>
      </w:r>
      <w:r>
        <w:rPr>
          <w:rFonts w:eastAsia="仿宋_GB2312"/>
          <w:sz w:val="32"/>
          <w:szCs w:val="32"/>
          <w:highlight w:val="none"/>
        </w:rPr>
        <w:t>图</w:t>
      </w:r>
    </w:p>
    <w:p w14:paraId="3413DE56">
      <w:pPr>
        <w:spacing w:line="600" w:lineRule="exact"/>
        <w:ind w:left="0" w:leftChars="0" w:firstLine="640" w:firstLineChars="200"/>
        <w:outlineLvl w:val="2"/>
        <w:rPr>
          <w:rFonts w:hint="eastAsia" w:eastAsia="黑体" w:cs="黑体"/>
          <w:sz w:val="32"/>
          <w:szCs w:val="36"/>
          <w:highlight w:val="none"/>
        </w:rPr>
      </w:pPr>
    </w:p>
    <w:p w14:paraId="19C7FD6B">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14:paraId="0E3665E9">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hint="eastAsia" w:ascii="仿宋_GB2312" w:hAnsi="仿宋_GB2312" w:eastAsia="仿宋_GB2312" w:cs="仿宋_GB2312"/>
          <w:sz w:val="32"/>
          <w:szCs w:val="32"/>
          <w:highlight w:val="none"/>
        </w:rPr>
        <w:t>年度</w:t>
      </w:r>
      <w:r>
        <w:rPr>
          <w:rFonts w:eastAsia="仿宋_GB2312"/>
          <w:sz w:val="32"/>
          <w:szCs w:val="32"/>
          <w:highlight w:val="none"/>
        </w:rPr>
        <w:t>一般公共预算财政拨款支出预算</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1870.89</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221.42</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13.42</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rPr>
        <w:t>具体情况如下：</w:t>
      </w:r>
    </w:p>
    <w:p w14:paraId="1295C295">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（一）社会保障和就业（类）</w:t>
      </w:r>
    </w:p>
    <w:p w14:paraId="53A73523">
      <w:pPr>
        <w:pStyle w:val="8"/>
        <w:spacing w:after="0" w:line="600" w:lineRule="exact"/>
        <w:ind w:firstLine="640" w:firstLineChars="200"/>
        <w:rPr>
          <w:rFonts w:eastAsia="仿宋_GB2312"/>
          <w:sz w:val="32"/>
          <w:szCs w:val="32"/>
          <w:highlight w:val="none"/>
        </w:rPr>
      </w:pPr>
      <w:r>
        <w:rPr>
          <w:rFonts w:hint="eastAsia" w:eastAsia="仿宋_GB2312"/>
          <w:sz w:val="32"/>
          <w:szCs w:val="32"/>
          <w:highlight w:val="none"/>
        </w:rPr>
        <w:t>社会保障和就业支出</w:t>
      </w:r>
      <w:r>
        <w:rPr>
          <w:rFonts w:hint="eastAsia" w:eastAsia="仿宋_GB2312"/>
          <w:sz w:val="32"/>
          <w:szCs w:val="32"/>
          <w:highlight w:val="none"/>
          <w:lang w:val="en-US" w:eastAsia="zh-CN"/>
        </w:rPr>
        <w:t>类</w:t>
      </w:r>
      <w:r>
        <w:rPr>
          <w:rFonts w:hint="eastAsia" w:eastAsia="仿宋_GB2312"/>
          <w:sz w:val="32"/>
          <w:szCs w:val="32"/>
          <w:highlight w:val="none"/>
        </w:rPr>
        <w:t>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147</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21</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44A4D795">
      <w:pPr>
        <w:pStyle w:val="8"/>
        <w:numPr>
          <w:ilvl w:val="0"/>
          <w:numId w:val="2"/>
        </w:numPr>
        <w:spacing w:after="0" w:line="600" w:lineRule="exact"/>
        <w:ind w:firstLine="640" w:firstLineChars="200"/>
        <w:rPr>
          <w:rFonts w:eastAsia="仿宋_GB2312"/>
          <w:sz w:val="32"/>
          <w:szCs w:val="32"/>
          <w:highlight w:val="none"/>
        </w:rPr>
      </w:pPr>
      <w:r>
        <w:rPr>
          <w:rFonts w:hint="eastAsia" w:eastAsia="仿宋_GB2312"/>
          <w:sz w:val="32"/>
          <w:szCs w:val="32"/>
          <w:highlight w:val="none"/>
        </w:rPr>
        <w:t>社会保障和就业支出（类）行政事业单位养老支出（款）机关事业单位基本养老保险缴费支出（项）：2025年财政拨款预算数为</w:t>
      </w:r>
      <w:r>
        <w:rPr>
          <w:rFonts w:hint="eastAsia" w:eastAsia="仿宋_GB2312"/>
          <w:sz w:val="32"/>
          <w:szCs w:val="32"/>
          <w:highlight w:val="none"/>
          <w:u w:val="single"/>
        </w:rPr>
        <w:t>96</w:t>
      </w:r>
      <w:r>
        <w:rPr>
          <w:rFonts w:hint="eastAsia" w:eastAsia="仿宋_GB2312"/>
          <w:sz w:val="32"/>
          <w:szCs w:val="32"/>
          <w:highlight w:val="none"/>
        </w:rPr>
        <w:t>万元，主要用于本单位职工养老保险缴存。比2024年财政拨款预算数增加</w:t>
      </w:r>
      <w:r>
        <w:rPr>
          <w:rFonts w:hint="eastAsia" w:eastAsia="仿宋_GB2312"/>
          <w:sz w:val="32"/>
          <w:szCs w:val="32"/>
          <w:highlight w:val="none"/>
          <w:u w:val="single"/>
        </w:rPr>
        <w:t>12</w:t>
      </w:r>
      <w:r>
        <w:rPr>
          <w:rFonts w:hint="eastAsia" w:eastAsia="仿宋_GB2312"/>
          <w:sz w:val="32"/>
          <w:szCs w:val="32"/>
          <w:highlight w:val="none"/>
        </w:rPr>
        <w:t>万元，</w:t>
      </w:r>
      <w:r>
        <w:rPr>
          <w:rFonts w:hint="eastAsia" w:eastAsia="仿宋_GB2312"/>
          <w:sz w:val="32"/>
          <w:szCs w:val="32"/>
          <w:highlight w:val="none"/>
          <w:lang w:val="en-US" w:eastAsia="zh-CN"/>
        </w:rPr>
        <w:t>增幅</w:t>
      </w:r>
      <w:r>
        <w:rPr>
          <w:rFonts w:hint="eastAsia" w:eastAsia="仿宋_GB2312"/>
          <w:sz w:val="32"/>
          <w:szCs w:val="32"/>
          <w:highlight w:val="none"/>
          <w:u w:val="single"/>
          <w:lang w:val="en-US" w:eastAsia="zh-CN"/>
        </w:rPr>
        <w:t>14.29</w:t>
      </w:r>
      <w:r>
        <w:rPr>
          <w:rFonts w:hint="eastAsia" w:eastAsia="仿宋_GB2312"/>
          <w:sz w:val="32"/>
          <w:szCs w:val="32"/>
          <w:highlight w:val="none"/>
          <w:lang w:val="en-US" w:eastAsia="zh-CN"/>
        </w:rPr>
        <w:t>%，</w:t>
      </w:r>
      <w:r>
        <w:rPr>
          <w:rFonts w:hint="eastAsia" w:eastAsia="仿宋_GB2312"/>
          <w:sz w:val="32"/>
          <w:szCs w:val="32"/>
          <w:highlight w:val="none"/>
        </w:rPr>
        <w:t>主要原因是2024年新增人员和调整人员工资及重新核定社保基数。</w:t>
      </w:r>
    </w:p>
    <w:p w14:paraId="43CF0A61">
      <w:pPr>
        <w:pStyle w:val="8"/>
        <w:numPr>
          <w:ilvl w:val="0"/>
          <w:numId w:val="2"/>
        </w:numPr>
        <w:spacing w:after="0" w:line="600" w:lineRule="exact"/>
        <w:ind w:left="0" w:leftChars="0" w:firstLine="640" w:firstLineChars="200"/>
        <w:rPr>
          <w:rFonts w:hint="eastAsia" w:eastAsia="仿宋_GB2312"/>
          <w:sz w:val="32"/>
          <w:szCs w:val="32"/>
          <w:highlight w:val="none"/>
        </w:rPr>
      </w:pPr>
      <w:r>
        <w:rPr>
          <w:rFonts w:hint="eastAsia" w:eastAsia="仿宋_GB2312"/>
          <w:sz w:val="32"/>
          <w:szCs w:val="32"/>
          <w:highlight w:val="none"/>
        </w:rPr>
        <w:t>社会保障和就业支出（类）行政事业单位养老支出（款）机关事业单位职业年金缴费支出（项）：2025年财政拨款预算数为</w:t>
      </w:r>
      <w:r>
        <w:rPr>
          <w:rFonts w:hint="eastAsia" w:eastAsia="仿宋_GB2312"/>
          <w:sz w:val="32"/>
          <w:szCs w:val="32"/>
          <w:highlight w:val="none"/>
          <w:u w:val="single"/>
        </w:rPr>
        <w:t>48</w:t>
      </w:r>
      <w:r>
        <w:rPr>
          <w:rFonts w:hint="eastAsia" w:eastAsia="仿宋_GB2312"/>
          <w:sz w:val="32"/>
          <w:szCs w:val="32"/>
          <w:highlight w:val="none"/>
        </w:rPr>
        <w:t>万元，主要用于本单位职工职业年金的缴存。比2024年财政拨款预算数增加</w:t>
      </w:r>
      <w:r>
        <w:rPr>
          <w:rFonts w:hint="eastAsia" w:eastAsia="仿宋_GB2312"/>
          <w:sz w:val="32"/>
          <w:szCs w:val="32"/>
          <w:highlight w:val="none"/>
          <w:u w:val="single"/>
        </w:rPr>
        <w:t>6</w:t>
      </w:r>
      <w:r>
        <w:rPr>
          <w:rFonts w:hint="eastAsia" w:eastAsia="仿宋_GB2312"/>
          <w:sz w:val="32"/>
          <w:szCs w:val="32"/>
          <w:highlight w:val="none"/>
        </w:rPr>
        <w:t>万元，</w:t>
      </w:r>
      <w:r>
        <w:rPr>
          <w:rFonts w:hint="eastAsia" w:eastAsia="仿宋_GB2312"/>
          <w:sz w:val="32"/>
          <w:szCs w:val="32"/>
          <w:highlight w:val="none"/>
          <w:lang w:val="en-US" w:eastAsia="zh-CN"/>
        </w:rPr>
        <w:t>增幅</w:t>
      </w:r>
      <w:r>
        <w:rPr>
          <w:rFonts w:hint="eastAsia" w:eastAsia="仿宋_GB2312"/>
          <w:sz w:val="32"/>
          <w:szCs w:val="32"/>
          <w:highlight w:val="none"/>
          <w:u w:val="single"/>
          <w:lang w:val="en-US" w:eastAsia="zh-CN"/>
        </w:rPr>
        <w:t>14.29</w:t>
      </w:r>
      <w:r>
        <w:rPr>
          <w:rFonts w:hint="eastAsia" w:eastAsia="仿宋_GB2312"/>
          <w:sz w:val="32"/>
          <w:szCs w:val="32"/>
          <w:highlight w:val="none"/>
          <w:lang w:val="en-US" w:eastAsia="zh-CN"/>
        </w:rPr>
        <w:t>%，</w:t>
      </w:r>
      <w:r>
        <w:rPr>
          <w:rFonts w:hint="eastAsia" w:eastAsia="仿宋_GB2312"/>
          <w:sz w:val="32"/>
          <w:szCs w:val="32"/>
          <w:highlight w:val="none"/>
        </w:rPr>
        <w:t>主要原因是2024年新增人员和调整人员工资及重新核定社保基数。</w:t>
      </w:r>
    </w:p>
    <w:p w14:paraId="292FB78B">
      <w:pPr>
        <w:pStyle w:val="8"/>
        <w:numPr>
          <w:ilvl w:val="0"/>
          <w:numId w:val="2"/>
        </w:numPr>
        <w:spacing w:after="0" w:line="600" w:lineRule="exact"/>
        <w:ind w:left="0" w:leftChars="0" w:firstLine="640" w:firstLineChars="200"/>
        <w:rPr>
          <w:rFonts w:hint="default" w:eastAsia="仿宋_GB2312"/>
          <w:sz w:val="32"/>
          <w:szCs w:val="32"/>
          <w:highlight w:val="none"/>
          <w:lang w:val="en-US" w:eastAsia="zh-CN"/>
        </w:rPr>
      </w:pPr>
      <w:r>
        <w:rPr>
          <w:rFonts w:hint="eastAsia" w:eastAsia="仿宋_GB2312"/>
          <w:sz w:val="32"/>
          <w:szCs w:val="32"/>
          <w:highlight w:val="none"/>
          <w:lang w:val="en-US" w:eastAsia="zh-CN"/>
        </w:rPr>
        <w:t>社会保障和就业支出（类）人力资源和社会保障管理事务（款）引进人才费用支出（项）：2025年财政拨款预算数为3万元，主要用于基层人才生活补助支出。比2024年财政拨款预算数增加</w:t>
      </w:r>
      <w:r>
        <w:rPr>
          <w:rFonts w:hint="eastAsia" w:eastAsia="仿宋_GB2312"/>
          <w:sz w:val="32"/>
          <w:szCs w:val="32"/>
          <w:highlight w:val="none"/>
          <w:u w:val="single"/>
          <w:lang w:val="en-US" w:eastAsia="zh-CN"/>
        </w:rPr>
        <w:t>3</w:t>
      </w:r>
      <w:r>
        <w:rPr>
          <w:rFonts w:hint="eastAsia" w:eastAsia="仿宋_GB2312"/>
          <w:sz w:val="32"/>
          <w:szCs w:val="32"/>
          <w:highlight w:val="none"/>
          <w:lang w:val="en-US" w:eastAsia="zh-CN"/>
        </w:rPr>
        <w:t>万元，增幅</w:t>
      </w:r>
      <w:r>
        <w:rPr>
          <w:rFonts w:hint="eastAsia" w:eastAsia="仿宋_GB2312"/>
          <w:sz w:val="32"/>
          <w:szCs w:val="32"/>
          <w:highlight w:val="none"/>
          <w:u w:val="single"/>
          <w:lang w:val="en-US" w:eastAsia="zh-CN"/>
        </w:rPr>
        <w:t>100</w:t>
      </w:r>
      <w:r>
        <w:rPr>
          <w:rFonts w:hint="eastAsia" w:eastAsia="仿宋_GB2312"/>
          <w:sz w:val="32"/>
          <w:szCs w:val="32"/>
          <w:highlight w:val="none"/>
          <w:lang w:val="en-US" w:eastAsia="zh-CN"/>
        </w:rPr>
        <w:t>%，主要原因是此项支出为本年度新增人才项目。</w:t>
      </w:r>
    </w:p>
    <w:p w14:paraId="13859029">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（二）卫生健康（类）</w:t>
      </w:r>
    </w:p>
    <w:p w14:paraId="4F448FE4">
      <w:pPr>
        <w:pStyle w:val="8"/>
        <w:spacing w:after="0" w:line="600" w:lineRule="exact"/>
        <w:ind w:firstLine="640" w:firstLineChars="200"/>
        <w:rPr>
          <w:rFonts w:eastAsia="仿宋_GB2312"/>
          <w:sz w:val="32"/>
          <w:szCs w:val="32"/>
          <w:highlight w:val="none"/>
        </w:rPr>
      </w:pPr>
      <w:r>
        <w:rPr>
          <w:rFonts w:hint="eastAsia" w:eastAsia="仿宋_GB2312"/>
          <w:sz w:val="32"/>
          <w:szCs w:val="32"/>
          <w:highlight w:val="none"/>
        </w:rPr>
        <w:t>卫生健康类年初预算数为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1574.96</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162.90</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7EF8C3FD">
      <w:pPr>
        <w:pStyle w:val="8"/>
        <w:numPr>
          <w:ilvl w:val="0"/>
          <w:numId w:val="3"/>
        </w:numPr>
        <w:spacing w:after="0" w:line="600" w:lineRule="exact"/>
        <w:ind w:firstLine="640" w:firstLineChars="200"/>
        <w:rPr>
          <w:rFonts w:hint="eastAsia" w:eastAsia="仿宋_GB2312"/>
          <w:sz w:val="32"/>
          <w:szCs w:val="32"/>
          <w:highlight w:val="none"/>
        </w:rPr>
      </w:pPr>
      <w:r>
        <w:rPr>
          <w:rFonts w:hint="eastAsia" w:eastAsia="仿宋_GB2312"/>
          <w:sz w:val="32"/>
          <w:szCs w:val="32"/>
          <w:highlight w:val="none"/>
        </w:rPr>
        <w:t>卫生健康支出（类）中医药事务（款）中医（民族医）药专项支出（项）：2025年预算数为</w:t>
      </w:r>
      <w:r>
        <w:rPr>
          <w:rFonts w:hint="eastAsia" w:eastAsia="仿宋_GB2312"/>
          <w:sz w:val="32"/>
          <w:szCs w:val="32"/>
          <w:highlight w:val="none"/>
          <w:u w:val="single"/>
        </w:rPr>
        <w:t>1558.66</w:t>
      </w:r>
      <w:r>
        <w:rPr>
          <w:rFonts w:hint="eastAsia" w:eastAsia="仿宋_GB2312"/>
          <w:sz w:val="32"/>
          <w:szCs w:val="32"/>
          <w:highlight w:val="none"/>
        </w:rPr>
        <w:t>万元，主要用于基础研究、应用研究、技术研究与开发、科技条件与服务、科技重大项目支出。比上年预算数减少</w:t>
      </w:r>
      <w:r>
        <w:rPr>
          <w:rFonts w:hint="eastAsia" w:eastAsia="仿宋_GB2312"/>
          <w:sz w:val="32"/>
          <w:szCs w:val="32"/>
          <w:highlight w:val="none"/>
          <w:u w:val="single"/>
        </w:rPr>
        <w:t>450.31</w:t>
      </w:r>
      <w:r>
        <w:rPr>
          <w:rFonts w:hint="eastAsia" w:eastAsia="仿宋_GB2312"/>
          <w:sz w:val="32"/>
          <w:szCs w:val="32"/>
          <w:highlight w:val="none"/>
        </w:rPr>
        <w:t>万元，降幅</w:t>
      </w:r>
      <w:r>
        <w:rPr>
          <w:rFonts w:hint="eastAsia" w:eastAsia="仿宋_GB2312"/>
          <w:sz w:val="32"/>
          <w:szCs w:val="32"/>
          <w:highlight w:val="none"/>
          <w:u w:val="single"/>
        </w:rPr>
        <w:t>22.41</w:t>
      </w:r>
      <w:r>
        <w:rPr>
          <w:rFonts w:hint="eastAsia" w:eastAsia="仿宋_GB2312"/>
          <w:sz w:val="32"/>
          <w:szCs w:val="32"/>
          <w:highlight w:val="none"/>
        </w:rPr>
        <w:t>%，主要原因是上年度归类为中医（民族医）药专项支出（项）的事业支出及事业单位经营支出重归类为其他卫生健康支出（项）。</w:t>
      </w:r>
    </w:p>
    <w:p w14:paraId="0DB6D494">
      <w:pPr>
        <w:pStyle w:val="8"/>
        <w:numPr>
          <w:ilvl w:val="0"/>
          <w:numId w:val="3"/>
        </w:numPr>
        <w:spacing w:after="0" w:line="600" w:lineRule="exact"/>
        <w:ind w:left="0" w:leftChars="0"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卫生健康支出（类）其他卫生健康支出（款）其他卫生健康支出（项）：2025年预算数为</w:t>
      </w:r>
      <w:r>
        <w:rPr>
          <w:rFonts w:hint="eastAsia" w:eastAsia="仿宋_GB2312"/>
          <w:sz w:val="32"/>
          <w:szCs w:val="32"/>
          <w:highlight w:val="none"/>
          <w:u w:val="single"/>
          <w:lang w:val="en-US" w:eastAsia="zh-CN"/>
        </w:rPr>
        <w:t>16.30</w:t>
      </w:r>
      <w:r>
        <w:rPr>
          <w:rFonts w:hint="eastAsia" w:eastAsia="仿宋_GB2312"/>
          <w:sz w:val="32"/>
          <w:szCs w:val="32"/>
          <w:highlight w:val="none"/>
          <w:lang w:val="en-US" w:eastAsia="zh-CN"/>
        </w:rPr>
        <w:t>万元，主要用于其他基础研究、应用研究、技术研究与开发、科技条件与服务、科技重大项目支出。比上年预算数增加</w:t>
      </w:r>
      <w:r>
        <w:rPr>
          <w:rFonts w:hint="eastAsia" w:eastAsia="仿宋_GB2312"/>
          <w:sz w:val="32"/>
          <w:szCs w:val="32"/>
          <w:highlight w:val="none"/>
          <w:u w:val="single"/>
          <w:lang w:val="en-US" w:eastAsia="zh-CN"/>
        </w:rPr>
        <w:t>13.21</w:t>
      </w:r>
      <w:r>
        <w:rPr>
          <w:rFonts w:hint="eastAsia" w:eastAsia="仿宋_GB2312"/>
          <w:sz w:val="32"/>
          <w:szCs w:val="32"/>
          <w:highlight w:val="none"/>
          <w:lang w:val="en-US" w:eastAsia="zh-CN"/>
        </w:rPr>
        <w:t>万元，增幅</w:t>
      </w:r>
      <w:r>
        <w:rPr>
          <w:rFonts w:hint="eastAsia" w:eastAsia="仿宋_GB2312"/>
          <w:sz w:val="32"/>
          <w:szCs w:val="32"/>
          <w:highlight w:val="none"/>
          <w:u w:val="single"/>
          <w:lang w:val="en-US" w:eastAsia="zh-CN"/>
        </w:rPr>
        <w:t>427.51</w:t>
      </w:r>
      <w:r>
        <w:rPr>
          <w:rFonts w:hint="eastAsia" w:eastAsia="仿宋_GB2312"/>
          <w:sz w:val="32"/>
          <w:szCs w:val="32"/>
          <w:highlight w:val="none"/>
          <w:lang w:val="en-US" w:eastAsia="zh-CN"/>
        </w:rPr>
        <w:t>%，主要原因是本年新增卫生健康管理经费项目和调整离退休人员离退休费。</w:t>
      </w:r>
    </w:p>
    <w:p w14:paraId="78A3FE7A">
      <w:pPr>
        <w:pStyle w:val="8"/>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三</w:t>
      </w: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住房保障</w:t>
      </w:r>
      <w:r>
        <w:rPr>
          <w:rFonts w:hint="eastAsia" w:ascii="楷体" w:hAnsi="楷体" w:eastAsia="楷体" w:cs="楷体"/>
          <w:b/>
          <w:bCs/>
          <w:sz w:val="32"/>
          <w:szCs w:val="32"/>
          <w:highlight w:val="none"/>
        </w:rPr>
        <w:t>（类）</w:t>
      </w:r>
    </w:p>
    <w:p w14:paraId="4DE89C34">
      <w:pPr>
        <w:pStyle w:val="8"/>
        <w:numPr>
          <w:ilvl w:val="0"/>
          <w:numId w:val="0"/>
        </w:numPr>
        <w:spacing w:after="0" w:line="600" w:lineRule="exact"/>
        <w:ind w:firstLine="640" w:firstLineChars="200"/>
        <w:rPr>
          <w:rFonts w:hint="eastAsia" w:eastAsia="仿宋_GB2312"/>
          <w:sz w:val="32"/>
          <w:szCs w:val="32"/>
          <w:highlight w:val="none"/>
        </w:rPr>
      </w:pPr>
      <w:r>
        <w:rPr>
          <w:rFonts w:hint="eastAsia" w:eastAsia="仿宋_GB2312"/>
          <w:sz w:val="32"/>
          <w:szCs w:val="32"/>
          <w:highlight w:val="none"/>
          <w:lang w:val="en-US" w:eastAsia="zh-CN"/>
        </w:rPr>
        <w:t>住房保障</w:t>
      </w:r>
      <w:r>
        <w:rPr>
          <w:rFonts w:hint="eastAsia" w:eastAsia="仿宋_GB2312"/>
          <w:sz w:val="32"/>
          <w:szCs w:val="32"/>
          <w:highlight w:val="none"/>
        </w:rPr>
        <w:t>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88</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20</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6CC71606">
      <w:pPr>
        <w:pStyle w:val="8"/>
        <w:numPr>
          <w:ilvl w:val="0"/>
          <w:numId w:val="0"/>
        </w:numPr>
        <w:spacing w:after="0" w:line="600" w:lineRule="exact"/>
        <w:ind w:firstLine="640" w:firstLineChars="200"/>
        <w:rPr>
          <w:rFonts w:hint="default" w:eastAsia="仿宋_GB2312"/>
          <w:sz w:val="32"/>
          <w:szCs w:val="32"/>
          <w:highlight w:val="none"/>
          <w:lang w:val="en-US" w:eastAsia="zh-CN"/>
        </w:rPr>
      </w:pPr>
      <w:r>
        <w:rPr>
          <w:rFonts w:hint="eastAsia" w:ascii="仿宋_GB2312" w:hAnsi="仿宋_GB2312" w:eastAsia="仿宋_GB2312" w:cs="仿宋_GB2312"/>
          <w:sz w:val="32"/>
          <w:szCs w:val="32"/>
          <w:lang w:val="en-US" w:eastAsia="zh-CN"/>
        </w:rPr>
        <w:t>住房保障支出（类）住房改革支出（款）住房公积金（项）：2025年财政拨款预算数为</w:t>
      </w:r>
      <w:r>
        <w:rPr>
          <w:rFonts w:hint="eastAsia" w:eastAsia="仿宋_GB2312"/>
          <w:sz w:val="32"/>
          <w:szCs w:val="32"/>
          <w:highlight w:val="none"/>
          <w:u w:val="single"/>
          <w:lang w:val="en-US" w:eastAsia="zh-CN"/>
        </w:rPr>
        <w:t>88</w:t>
      </w:r>
      <w:r>
        <w:rPr>
          <w:rFonts w:hint="eastAsia" w:eastAsia="仿宋_GB2312"/>
          <w:sz w:val="32"/>
          <w:szCs w:val="32"/>
          <w:highlight w:val="none"/>
          <w:u w:val="none"/>
          <w:lang w:val="en-US" w:eastAsia="zh-CN"/>
        </w:rPr>
        <w:t>万</w:t>
      </w:r>
      <w:r>
        <w:rPr>
          <w:rFonts w:hint="eastAsia" w:ascii="仿宋_GB2312" w:hAnsi="仿宋_GB2312" w:eastAsia="仿宋_GB2312" w:cs="仿宋_GB2312"/>
          <w:sz w:val="32"/>
          <w:szCs w:val="32"/>
          <w:lang w:val="en-US" w:eastAsia="zh-CN"/>
        </w:rPr>
        <w:t>元，主要用于按照国家政策规定为职工缴纳的住房公积金。比2024年财政拨款预算增加</w:t>
      </w:r>
      <w:r>
        <w:rPr>
          <w:rFonts w:hint="eastAsia" w:eastAsia="仿宋_GB2312"/>
          <w:sz w:val="32"/>
          <w:szCs w:val="32"/>
          <w:highlight w:val="none"/>
          <w:u w:val="single"/>
          <w:lang w:val="en-US" w:eastAsia="zh-CN"/>
        </w:rPr>
        <w:t>20</w:t>
      </w:r>
      <w:r>
        <w:rPr>
          <w:rFonts w:hint="eastAsia" w:ascii="仿宋_GB2312" w:hAnsi="仿宋_GB2312" w:eastAsia="仿宋_GB2312" w:cs="仿宋_GB2312"/>
          <w:sz w:val="32"/>
          <w:szCs w:val="32"/>
          <w:lang w:val="en-US" w:eastAsia="zh-CN"/>
        </w:rPr>
        <w:t>万元，增幅</w:t>
      </w:r>
      <w:r>
        <w:rPr>
          <w:rFonts w:hint="eastAsia" w:eastAsia="仿宋_GB2312"/>
          <w:sz w:val="32"/>
          <w:szCs w:val="32"/>
          <w:highlight w:val="none"/>
          <w:u w:val="single"/>
          <w:lang w:val="en-US" w:eastAsia="zh-CN"/>
        </w:rPr>
        <w:t>29.41</w:t>
      </w:r>
      <w:r>
        <w:rPr>
          <w:rFonts w:hint="eastAsia" w:ascii="仿宋_GB2312" w:hAnsi="仿宋_GB2312" w:eastAsia="仿宋_GB2312" w:cs="仿宋_GB2312"/>
          <w:sz w:val="32"/>
          <w:szCs w:val="32"/>
          <w:lang w:val="en-US" w:eastAsia="zh-CN"/>
        </w:rPr>
        <w:t>%，主要原因是调整人员工资及重新核定公积金基数。</w:t>
      </w:r>
    </w:p>
    <w:p w14:paraId="20768624">
      <w:pPr>
        <w:pStyle w:val="8"/>
        <w:spacing w:after="0" w:line="600" w:lineRule="exact"/>
        <w:ind w:firstLine="643" w:firstLineChars="200"/>
        <w:rPr>
          <w:rFonts w:hint="eastAsia" w:eastAsia="仿宋_GB2312"/>
          <w:sz w:val="32"/>
          <w:szCs w:val="32"/>
          <w:highlight w:val="none"/>
          <w:lang w:eastAsia="zh-CN"/>
        </w:rPr>
      </w:pP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四</w:t>
      </w:r>
      <w:r>
        <w:rPr>
          <w:rFonts w:hint="eastAsia" w:ascii="楷体" w:hAnsi="楷体" w:eastAsia="楷体" w:cs="楷体"/>
          <w:b/>
          <w:bCs/>
          <w:sz w:val="32"/>
          <w:szCs w:val="32"/>
          <w:highlight w:val="none"/>
        </w:rPr>
        <w:t>）</w:t>
      </w:r>
      <w:r>
        <w:rPr>
          <w:rFonts w:hint="eastAsia" w:ascii="楷体" w:hAnsi="楷体" w:eastAsia="楷体" w:cs="楷体"/>
          <w:b/>
          <w:bCs/>
          <w:sz w:val="32"/>
          <w:szCs w:val="32"/>
          <w:highlight w:val="none"/>
          <w:lang w:val="en-US" w:eastAsia="zh-CN"/>
        </w:rPr>
        <w:t>科学技术</w:t>
      </w:r>
      <w:r>
        <w:rPr>
          <w:rFonts w:hint="eastAsia" w:ascii="楷体" w:hAnsi="楷体" w:eastAsia="楷体" w:cs="楷体"/>
          <w:b/>
          <w:bCs/>
          <w:sz w:val="32"/>
          <w:szCs w:val="32"/>
          <w:highlight w:val="none"/>
        </w:rPr>
        <w:t>（类）</w:t>
      </w:r>
    </w:p>
    <w:p w14:paraId="68DE1AF2">
      <w:pPr>
        <w:pStyle w:val="8"/>
        <w:spacing w:after="0" w:line="600" w:lineRule="exact"/>
        <w:ind w:left="61" w:leftChars="29" w:firstLine="579" w:firstLineChars="181"/>
        <w:rPr>
          <w:rFonts w:hint="eastAsia" w:eastAsia="仿宋_GB2312"/>
          <w:sz w:val="32"/>
          <w:szCs w:val="32"/>
          <w:highlight w:val="none"/>
        </w:rPr>
      </w:pPr>
      <w:r>
        <w:rPr>
          <w:rFonts w:hint="eastAsia" w:eastAsia="仿宋_GB2312"/>
          <w:sz w:val="32"/>
          <w:szCs w:val="32"/>
          <w:highlight w:val="none"/>
          <w:lang w:val="en-US" w:eastAsia="zh-CN"/>
        </w:rPr>
        <w:t>科学技术</w:t>
      </w:r>
      <w:r>
        <w:rPr>
          <w:rFonts w:hint="eastAsia" w:eastAsia="仿宋_GB2312"/>
          <w:sz w:val="32"/>
          <w:szCs w:val="32"/>
          <w:highlight w:val="none"/>
        </w:rPr>
        <w:t>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60.93</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hint="eastAsia" w:eastAsia="仿宋_GB2312"/>
          <w:sz w:val="32"/>
          <w:szCs w:val="32"/>
          <w:highlight w:val="none"/>
          <w:u w:val="single"/>
          <w:lang w:val="en-US" w:eastAsia="zh-CN"/>
        </w:rPr>
        <w:t>60.93</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2F54AF9D">
      <w:pPr>
        <w:pStyle w:val="8"/>
        <w:numPr>
          <w:ilvl w:val="0"/>
          <w:numId w:val="4"/>
        </w:numPr>
        <w:spacing w:after="0" w:line="600" w:lineRule="exact"/>
        <w:ind w:left="61" w:leftChars="29" w:firstLine="579" w:firstLineChars="181"/>
        <w:rPr>
          <w:rFonts w:hint="eastAsia" w:eastAsia="仿宋_GB2312"/>
          <w:sz w:val="32"/>
          <w:szCs w:val="32"/>
          <w:highlight w:val="none"/>
          <w:lang w:val="en-US" w:eastAsia="zh-CN"/>
        </w:rPr>
      </w:pPr>
      <w:r>
        <w:rPr>
          <w:rFonts w:hint="eastAsia" w:eastAsia="仿宋_GB2312"/>
          <w:sz w:val="32"/>
          <w:szCs w:val="32"/>
          <w:highlight w:val="none"/>
          <w:lang w:val="en-US" w:eastAsia="zh-CN"/>
        </w:rPr>
        <w:t>科学技术支出（类）基础研究（款）自然科学基金（项）：2025年财政拨款预算数为</w:t>
      </w:r>
      <w:r>
        <w:rPr>
          <w:rFonts w:hint="eastAsia" w:eastAsia="仿宋_GB2312"/>
          <w:sz w:val="32"/>
          <w:szCs w:val="32"/>
          <w:highlight w:val="none"/>
          <w:u w:val="single"/>
          <w:lang w:val="en-US" w:eastAsia="zh-CN"/>
        </w:rPr>
        <w:t>37.898</w:t>
      </w:r>
      <w:r>
        <w:rPr>
          <w:rFonts w:hint="eastAsia" w:eastAsia="仿宋_GB2312"/>
          <w:sz w:val="32"/>
          <w:szCs w:val="32"/>
          <w:highlight w:val="none"/>
          <w:lang w:val="en-US" w:eastAsia="zh-CN"/>
        </w:rPr>
        <w:t>万元，主要用于国家自然科学基金基础研究。比2024年财政拨款预算数增加</w:t>
      </w:r>
      <w:r>
        <w:rPr>
          <w:rFonts w:hint="eastAsia" w:eastAsia="仿宋_GB2312"/>
          <w:sz w:val="32"/>
          <w:szCs w:val="32"/>
          <w:highlight w:val="none"/>
          <w:u w:val="single"/>
          <w:lang w:val="en-US" w:eastAsia="zh-CN"/>
        </w:rPr>
        <w:t>22.66</w:t>
      </w:r>
      <w:r>
        <w:rPr>
          <w:rFonts w:hint="eastAsia" w:eastAsia="仿宋_GB2312"/>
          <w:sz w:val="32"/>
          <w:szCs w:val="32"/>
          <w:highlight w:val="none"/>
          <w:lang w:val="en-US" w:eastAsia="zh-CN"/>
        </w:rPr>
        <w:t>万元，增幅</w:t>
      </w:r>
      <w:r>
        <w:rPr>
          <w:rFonts w:hint="eastAsia" w:eastAsia="仿宋_GB2312"/>
          <w:sz w:val="32"/>
          <w:szCs w:val="32"/>
          <w:highlight w:val="none"/>
          <w:u w:val="single"/>
          <w:lang w:val="en-US" w:eastAsia="zh-CN"/>
        </w:rPr>
        <w:t>148.69</w:t>
      </w:r>
      <w:r>
        <w:rPr>
          <w:rFonts w:hint="eastAsia" w:eastAsia="仿宋_GB2312"/>
          <w:sz w:val="32"/>
          <w:szCs w:val="32"/>
          <w:highlight w:val="none"/>
          <w:lang w:val="en-US" w:eastAsia="zh-CN"/>
        </w:rPr>
        <w:t>%，主要原因是此项为2024年1项新增自然科学基金科研项目。</w:t>
      </w:r>
    </w:p>
    <w:p w14:paraId="342F5B75">
      <w:pPr>
        <w:pStyle w:val="8"/>
        <w:numPr>
          <w:ilvl w:val="0"/>
          <w:numId w:val="4"/>
        </w:numPr>
        <w:spacing w:after="0" w:line="600" w:lineRule="exact"/>
        <w:ind w:left="61" w:leftChars="29" w:firstLine="579" w:firstLineChars="181"/>
        <w:rPr>
          <w:rFonts w:hint="eastAsia" w:eastAsia="仿宋_GB2312"/>
          <w:sz w:val="32"/>
          <w:szCs w:val="32"/>
          <w:highlight w:val="none"/>
          <w:lang w:val="en-US" w:eastAsia="zh-CN"/>
        </w:rPr>
      </w:pPr>
      <w:r>
        <w:rPr>
          <w:rFonts w:hint="eastAsia" w:eastAsia="仿宋_GB2312"/>
          <w:sz w:val="32"/>
          <w:szCs w:val="32"/>
          <w:highlight w:val="none"/>
          <w:lang w:val="en-US" w:eastAsia="zh-CN"/>
        </w:rPr>
        <w:t>科学技术支出（类）应用研究（款）其他应用研究支出（项）：2025年财政拨款预算数为</w:t>
      </w:r>
      <w:r>
        <w:rPr>
          <w:rFonts w:hint="eastAsia" w:eastAsia="仿宋_GB2312"/>
          <w:sz w:val="32"/>
          <w:szCs w:val="32"/>
          <w:highlight w:val="none"/>
          <w:u w:val="single"/>
          <w:lang w:val="en-US" w:eastAsia="zh-CN"/>
        </w:rPr>
        <w:t>23.03</w:t>
      </w:r>
      <w:r>
        <w:rPr>
          <w:rFonts w:hint="eastAsia" w:eastAsia="仿宋_GB2312"/>
          <w:sz w:val="32"/>
          <w:szCs w:val="32"/>
          <w:highlight w:val="none"/>
          <w:lang w:val="en-US" w:eastAsia="zh-CN"/>
        </w:rPr>
        <w:t>万元，主要用于科学技术研究中的其他应用研究支出。比2024年财政拨款预算数减少</w:t>
      </w:r>
      <w:r>
        <w:rPr>
          <w:rFonts w:hint="eastAsia" w:eastAsia="仿宋_GB2312"/>
          <w:sz w:val="32"/>
          <w:szCs w:val="32"/>
          <w:highlight w:val="none"/>
          <w:u w:val="single"/>
          <w:lang w:val="en-US" w:eastAsia="zh-CN"/>
        </w:rPr>
        <w:t>3.51</w:t>
      </w:r>
      <w:r>
        <w:rPr>
          <w:rFonts w:hint="eastAsia" w:eastAsia="仿宋_GB2312"/>
          <w:sz w:val="32"/>
          <w:szCs w:val="32"/>
          <w:highlight w:val="none"/>
          <w:lang w:val="en-US" w:eastAsia="zh-CN"/>
        </w:rPr>
        <w:t>万元，降幅</w:t>
      </w:r>
      <w:r>
        <w:rPr>
          <w:rFonts w:hint="eastAsia" w:eastAsia="仿宋_GB2312"/>
          <w:sz w:val="32"/>
          <w:szCs w:val="32"/>
          <w:highlight w:val="none"/>
          <w:u w:val="single"/>
          <w:lang w:val="en-US" w:eastAsia="zh-CN"/>
        </w:rPr>
        <w:t>13.23</w:t>
      </w:r>
      <w:r>
        <w:rPr>
          <w:rFonts w:hint="eastAsia" w:eastAsia="仿宋_GB2312"/>
          <w:sz w:val="32"/>
          <w:szCs w:val="32"/>
          <w:highlight w:val="none"/>
          <w:lang w:val="en-US" w:eastAsia="zh-CN"/>
        </w:rPr>
        <w:t>%，主要原因是科研项目为三年期科研项目，部分任务已完成，经费按照计划支出后的结转结余数。</w:t>
      </w:r>
    </w:p>
    <w:p w14:paraId="3A5AB53F">
      <w:pPr>
        <w:pStyle w:val="8"/>
        <w:numPr>
          <w:ilvl w:val="0"/>
          <w:numId w:val="4"/>
        </w:numPr>
        <w:spacing w:after="0" w:line="600" w:lineRule="exact"/>
        <w:ind w:left="61" w:leftChars="29" w:firstLine="579" w:firstLineChars="181"/>
        <w:rPr>
          <w:rFonts w:hint="default" w:eastAsia="仿宋_GB2312"/>
          <w:sz w:val="32"/>
          <w:szCs w:val="32"/>
          <w:highlight w:val="none"/>
          <w:lang w:val="en-US" w:eastAsia="zh-CN"/>
        </w:rPr>
      </w:pPr>
      <w:r>
        <w:rPr>
          <w:rFonts w:hint="eastAsia" w:eastAsia="仿宋_GB2312"/>
          <w:sz w:val="32"/>
          <w:szCs w:val="32"/>
          <w:highlight w:val="none"/>
          <w:lang w:val="en-US" w:eastAsia="zh-CN"/>
        </w:rPr>
        <w:t>科学技术支出（类）技术研究与开发（款）科技成果转化与扩散（项）：2025年财政拨款预算数为</w:t>
      </w:r>
      <w:r>
        <w:rPr>
          <w:rFonts w:hint="eastAsia" w:eastAsia="仿宋_GB2312"/>
          <w:sz w:val="32"/>
          <w:szCs w:val="32"/>
          <w:highlight w:val="none"/>
          <w:u w:val="single"/>
          <w:lang w:val="en-US" w:eastAsia="zh-CN"/>
        </w:rPr>
        <w:t>0.0001</w:t>
      </w:r>
      <w:r>
        <w:rPr>
          <w:rFonts w:hint="eastAsia" w:eastAsia="仿宋_GB2312"/>
          <w:sz w:val="32"/>
          <w:szCs w:val="32"/>
          <w:highlight w:val="none"/>
          <w:lang w:val="en-US" w:eastAsia="zh-CN"/>
        </w:rPr>
        <w:t>万元，主要用于科学技术研究与开发中能够形成科技成果转化与扩散相关支出。比2024年财政拨款预算数减少</w:t>
      </w:r>
      <w:r>
        <w:rPr>
          <w:rFonts w:hint="eastAsia" w:eastAsia="仿宋_GB2312"/>
          <w:sz w:val="32"/>
          <w:szCs w:val="32"/>
          <w:highlight w:val="none"/>
          <w:u w:val="single"/>
          <w:lang w:val="en-US" w:eastAsia="zh-CN"/>
        </w:rPr>
        <w:t>0.058</w:t>
      </w:r>
      <w:r>
        <w:rPr>
          <w:rFonts w:hint="eastAsia" w:eastAsia="仿宋_GB2312"/>
          <w:sz w:val="32"/>
          <w:szCs w:val="32"/>
          <w:highlight w:val="none"/>
          <w:lang w:val="en-US" w:eastAsia="zh-CN"/>
        </w:rPr>
        <w:t>万元，降幅</w:t>
      </w:r>
      <w:r>
        <w:rPr>
          <w:rFonts w:hint="eastAsia" w:eastAsia="仿宋_GB2312"/>
          <w:sz w:val="32"/>
          <w:szCs w:val="32"/>
          <w:highlight w:val="none"/>
          <w:u w:val="single"/>
          <w:lang w:val="en-US" w:eastAsia="zh-CN"/>
        </w:rPr>
        <w:t>99.62</w:t>
      </w:r>
      <w:r>
        <w:rPr>
          <w:rFonts w:hint="eastAsia" w:eastAsia="仿宋_GB2312"/>
          <w:sz w:val="32"/>
          <w:szCs w:val="32"/>
          <w:highlight w:val="none"/>
          <w:lang w:val="en-US" w:eastAsia="zh-CN"/>
        </w:rPr>
        <w:t>%主要原因是上年结余蒙古黄芪、小秦艽等5种道地蒙中药材扶贫示范基地建设及种植技术推广项目为三年期科研项目，2024年年末项目经费已基本支出完成，另有0.0001万元形成结转结余资金。</w:t>
      </w:r>
    </w:p>
    <w:p w14:paraId="28DDE78A">
      <w:pPr>
        <w:spacing w:line="600" w:lineRule="exact"/>
        <w:ind w:left="0" w:leftChars="0" w:firstLine="640" w:firstLineChars="200"/>
        <w:outlineLvl w:val="2"/>
        <w:rPr>
          <w:rFonts w:hint="eastAsia" w:ascii="Times New Roman" w:hAnsi="Times New Roman" w:eastAsia="仿宋_GB2312" w:cs="仿宋"/>
          <w:sz w:val="32"/>
          <w:szCs w:val="32"/>
          <w:highlight w:val="none"/>
        </w:rPr>
      </w:pPr>
      <w:r>
        <w:rPr>
          <w:rFonts w:hint="eastAsia" w:eastAsia="黑体" w:cs="黑体"/>
          <w:sz w:val="32"/>
          <w:szCs w:val="36"/>
          <w:highlight w:val="none"/>
        </w:rPr>
        <w:t>六、一般公共预算基本支出预算情况说明</w:t>
      </w:r>
    </w:p>
    <w:p w14:paraId="4872DB9E">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hint="eastAsia" w:ascii="Times New Roman" w:hAnsi="Times New Roman" w:eastAsia="仿宋_GB2312" w:cs="仿宋"/>
          <w:sz w:val="32"/>
          <w:szCs w:val="32"/>
          <w:highlight w:val="none"/>
        </w:rPr>
        <w:t>年度一般公共预算财政拨款基本支出预算</w:t>
      </w:r>
      <w:r>
        <w:rPr>
          <w:rFonts w:hint="eastAsia" w:ascii="Times New Roman" w:hAnsi="Times New Roman" w:eastAsia="仿宋_GB2312" w:cs="仿宋"/>
          <w:sz w:val="32"/>
          <w:szCs w:val="32"/>
          <w:highlight w:val="none"/>
          <w:u w:val="single"/>
        </w:rPr>
        <w:t xml:space="preserve">  </w:t>
      </w:r>
      <w:r>
        <w:rPr>
          <w:rFonts w:hint="eastAsia" w:eastAsia="仿宋_GB2312" w:cs="仿宋"/>
          <w:sz w:val="32"/>
          <w:szCs w:val="32"/>
          <w:highlight w:val="none"/>
          <w:u w:val="single"/>
          <w:lang w:val="en-US" w:eastAsia="zh-CN"/>
        </w:rPr>
        <w:t>933.30</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万元，其中：</w:t>
      </w:r>
    </w:p>
    <w:p w14:paraId="3EC36078">
      <w:pPr>
        <w:pStyle w:val="8"/>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（一）人员经费</w:t>
      </w:r>
      <w:r>
        <w:rPr>
          <w:rFonts w:hint="eastAsia" w:ascii="Times New Roman" w:hAnsi="Times New Roman" w:eastAsia="仿宋_GB2312" w:cs="仿宋"/>
          <w:b/>
          <w:bCs/>
          <w:sz w:val="32"/>
          <w:szCs w:val="32"/>
          <w:highlight w:val="none"/>
          <w:u w:val="single"/>
        </w:rPr>
        <w:t xml:space="preserve">  </w:t>
      </w:r>
      <w:r>
        <w:rPr>
          <w:rFonts w:hint="eastAsia" w:eastAsia="仿宋_GB2312" w:cs="仿宋"/>
          <w:b/>
          <w:bCs/>
          <w:sz w:val="32"/>
          <w:szCs w:val="32"/>
          <w:highlight w:val="none"/>
          <w:u w:val="single"/>
          <w:lang w:val="en-US" w:eastAsia="zh-CN"/>
        </w:rPr>
        <w:t>933.30</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。主要包括：基本工资、津贴补贴、奖金、伙食补助费、绩效工资、住房公积金、医疗费、其他工资福利支出、离休费、退休费、抚恤金、奖励金、其他对个人和家庭的补助等。</w:t>
      </w:r>
    </w:p>
    <w:p w14:paraId="4B7A9348">
      <w:pPr>
        <w:pStyle w:val="8"/>
        <w:spacing w:after="0" w:line="600" w:lineRule="exact"/>
        <w:ind w:left="17" w:leftChars="8"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（按“公开06表一般公共预算基本支出表”中经济分类支出事项填写）</w:t>
      </w:r>
    </w:p>
    <w:p w14:paraId="585CCD6E">
      <w:pPr>
        <w:pStyle w:val="8"/>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（二）公用经费</w:t>
      </w:r>
      <w:r>
        <w:rPr>
          <w:rFonts w:hint="eastAsia" w:ascii="Times New Roman" w:hAnsi="Times New Roman" w:eastAsia="仿宋_GB2312" w:cs="仿宋"/>
          <w:b/>
          <w:bCs/>
          <w:sz w:val="32"/>
          <w:szCs w:val="32"/>
          <w:highlight w:val="none"/>
          <w:u w:val="single"/>
        </w:rPr>
        <w:t xml:space="preserve">  </w:t>
      </w:r>
      <w:r>
        <w:rPr>
          <w:rFonts w:hint="eastAsia" w:eastAsia="仿宋_GB2312" w:cs="仿宋"/>
          <w:b/>
          <w:bCs/>
          <w:sz w:val="32"/>
          <w:szCs w:val="32"/>
          <w:highlight w:val="none"/>
          <w:u w:val="single"/>
          <w:lang w:val="en-US" w:eastAsia="zh-CN"/>
        </w:rPr>
        <w:t>0</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14:paraId="60D38384">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七、一般公共预算“三公”经费支出预算情况说明</w:t>
      </w:r>
    </w:p>
    <w:p w14:paraId="53C405B5">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年度一般公共预算拨款安排的“三公”经费预算支出</w:t>
      </w:r>
      <w:r>
        <w:rPr>
          <w:rFonts w:hint="eastAsia" w:eastAsia="仿宋_GB2312"/>
          <w:sz w:val="32"/>
          <w:szCs w:val="32"/>
          <w:highlight w:val="none"/>
          <w:u w:val="single"/>
          <w:lang w:val="en-US" w:eastAsia="zh-CN"/>
        </w:rPr>
        <w:t>0</w:t>
      </w:r>
      <w:r>
        <w:rPr>
          <w:rFonts w:eastAsia="仿宋_GB2312"/>
          <w:sz w:val="32"/>
          <w:szCs w:val="32"/>
          <w:highlight w:val="none"/>
        </w:rPr>
        <w:t>万元，其中因公出国（境）费支出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14:paraId="2A359F13">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pacing w:val="-55"/>
          <w:sz w:val="32"/>
          <w:szCs w:val="32"/>
          <w:highlight w:val="none"/>
        </w:rPr>
        <w:t xml:space="preserve"> </w:t>
      </w:r>
      <w:r>
        <w:rPr>
          <w:rFonts w:eastAsia="仿宋_GB2312"/>
          <w:spacing w:val="-4"/>
          <w:sz w:val="32"/>
          <w:szCs w:val="32"/>
          <w:highlight w:val="none"/>
        </w:rPr>
        <w:t>万元，比上年预</w:t>
      </w:r>
      <w:r>
        <w:rPr>
          <w:rFonts w:eastAsia="仿宋_GB2312"/>
          <w:spacing w:val="-6"/>
          <w:sz w:val="32"/>
          <w:szCs w:val="32"/>
          <w:highlight w:val="none"/>
        </w:rPr>
        <w:t>算增加（减少）</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pacing w:val="-6"/>
          <w:sz w:val="32"/>
          <w:szCs w:val="32"/>
          <w:highlight w:val="none"/>
        </w:rPr>
        <w:t>万元，</w:t>
      </w:r>
      <w:r>
        <w:rPr>
          <w:rFonts w:eastAsia="仿宋_GB2312"/>
          <w:sz w:val="32"/>
          <w:szCs w:val="32"/>
          <w:highlight w:val="none"/>
        </w:rPr>
        <w:t>增长（减少）</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14:paraId="084108B8">
      <w:pPr>
        <w:pStyle w:val="8"/>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1AEBEBC1">
      <w:pPr>
        <w:pStyle w:val="8"/>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ab/>
      </w:r>
      <w:r>
        <w:rPr>
          <w:rFonts w:eastAsia="仿宋_GB2312"/>
          <w:sz w:val="32"/>
          <w:szCs w:val="32"/>
          <w:highlight w:val="none"/>
        </w:rPr>
        <w:t>万元。其中：</w:t>
      </w:r>
    </w:p>
    <w:p w14:paraId="4AA01014">
      <w:pPr>
        <w:pStyle w:val="8"/>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7229A842">
      <w:pPr>
        <w:pStyle w:val="8"/>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4F15F03B">
      <w:pPr>
        <w:pStyle w:val="8"/>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14:paraId="4C9C9E9B">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14:paraId="1495FEF7">
      <w:pPr>
        <w:pStyle w:val="8"/>
        <w:spacing w:after="0" w:line="600" w:lineRule="exact"/>
        <w:ind w:left="17" w:leftChars="8"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年度政府性基金支出预算支出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w:t>
      </w:r>
      <w:r>
        <w:rPr>
          <w:rFonts w:hint="eastAsia" w:eastAsia="仿宋_GB2312"/>
          <w:sz w:val="32"/>
          <w:szCs w:val="32"/>
          <w:highlight w:val="none"/>
          <w:lang w:val="en-US" w:eastAsia="zh-CN"/>
        </w:rPr>
        <w:t>无变化，无增减浮动，主要原因是</w:t>
      </w:r>
      <w:r>
        <w:rPr>
          <w:rFonts w:hint="eastAsia" w:ascii="Times New Roman" w:hAnsi="Times New Roman" w:eastAsia="仿宋_GB2312" w:cs="仿宋"/>
          <w:sz w:val="32"/>
          <w:szCs w:val="32"/>
          <w:highlight w:val="none"/>
        </w:rPr>
        <w:t>无政府性基金预算支出</w:t>
      </w:r>
      <w:r>
        <w:rPr>
          <w:rFonts w:eastAsia="仿宋_GB2312"/>
          <w:sz w:val="32"/>
          <w:szCs w:val="32"/>
          <w:highlight w:val="none"/>
        </w:rPr>
        <w:t>。</w:t>
      </w:r>
    </w:p>
    <w:p w14:paraId="33E2E34D">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九、国有资本经营预算支出预算情况说明</w:t>
      </w:r>
    </w:p>
    <w:p w14:paraId="520A3F21">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w:t>
      </w:r>
      <w:r>
        <w:rPr>
          <w:rFonts w:hint="eastAsia" w:eastAsia="仿宋_GB2312" w:cstheme="minorBidi"/>
          <w:sz w:val="32"/>
          <w:szCs w:val="32"/>
          <w:highlight w:val="none"/>
        </w:rPr>
        <w:t>国有资本经营预算支出</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u w:val="single"/>
          <w:lang w:val="en-US" w:eastAsia="zh-CN"/>
        </w:rPr>
        <w:t>0</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w:t>
      </w:r>
      <w:r>
        <w:rPr>
          <w:rFonts w:eastAsia="仿宋_GB2312"/>
          <w:sz w:val="32"/>
          <w:szCs w:val="32"/>
          <w:highlight w:val="none"/>
        </w:rPr>
        <w:t>与上年相比</w:t>
      </w:r>
      <w:r>
        <w:rPr>
          <w:rFonts w:hint="eastAsia" w:eastAsia="仿宋_GB2312"/>
          <w:sz w:val="32"/>
          <w:szCs w:val="32"/>
          <w:highlight w:val="none"/>
          <w:lang w:val="en-US" w:eastAsia="zh-CN"/>
        </w:rPr>
        <w:t>无变化，无增减浮动，主要原因是</w:t>
      </w:r>
      <w:r>
        <w:rPr>
          <w:rFonts w:hint="eastAsia" w:eastAsia="仿宋_GB2312" w:cstheme="minorBidi"/>
          <w:sz w:val="32"/>
          <w:szCs w:val="32"/>
          <w:highlight w:val="none"/>
        </w:rPr>
        <w:t>无国有资本经营预算支出。</w:t>
      </w:r>
    </w:p>
    <w:p w14:paraId="7AD1F834">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14:paraId="4037C9BA">
      <w:pPr>
        <w:spacing w:line="600" w:lineRule="exact"/>
        <w:ind w:firstLine="640" w:firstLineChars="200"/>
        <w:rPr>
          <w:rFonts w:hint="eastAsia" w:eastAsia="仿宋_GB2312"/>
          <w:sz w:val="32"/>
          <w:szCs w:val="32"/>
          <w:highlight w:val="none"/>
          <w:lang w:val="en-US" w:eastAsia="zh-CN"/>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年度预算安排项目</w:t>
      </w:r>
      <w:r>
        <w:rPr>
          <w:rFonts w:eastAsia="仿宋_GB2312"/>
          <w:sz w:val="32"/>
          <w:szCs w:val="32"/>
          <w:highlight w:val="none"/>
          <w:u w:val="single"/>
        </w:rPr>
        <w:tab/>
      </w:r>
      <w:r>
        <w:rPr>
          <w:rFonts w:hint="eastAsia" w:eastAsia="仿宋_GB2312"/>
          <w:sz w:val="32"/>
          <w:szCs w:val="32"/>
          <w:highlight w:val="none"/>
          <w:u w:val="single"/>
          <w:lang w:val="en-US" w:eastAsia="zh-CN"/>
        </w:rPr>
        <w:t>10</w:t>
      </w:r>
      <w:r>
        <w:rPr>
          <w:rFonts w:eastAsia="仿宋_GB2312"/>
          <w:sz w:val="32"/>
          <w:szCs w:val="32"/>
          <w:highlight w:val="none"/>
          <w:u w:val="single"/>
        </w:rPr>
        <w:t xml:space="preserve">   </w:t>
      </w:r>
      <w:r>
        <w:rPr>
          <w:rFonts w:eastAsia="仿宋_GB2312"/>
          <w:sz w:val="32"/>
          <w:szCs w:val="32"/>
          <w:highlight w:val="none"/>
        </w:rPr>
        <w:t>个，项目预算总金额</w:t>
      </w:r>
      <w:r>
        <w:rPr>
          <w:rFonts w:eastAsia="仿宋_GB2312"/>
          <w:sz w:val="32"/>
          <w:szCs w:val="32"/>
          <w:highlight w:val="none"/>
          <w:u w:val="single"/>
        </w:rPr>
        <w:tab/>
      </w:r>
      <w:r>
        <w:rPr>
          <w:rFonts w:hint="eastAsia" w:ascii="仿宋_GB2312" w:hAnsi="仿宋_GB2312" w:eastAsia="仿宋_GB2312" w:cs="仿宋_GB2312"/>
          <w:sz w:val="32"/>
          <w:szCs w:val="32"/>
          <w:u w:val="single"/>
          <w:lang w:val="en-US" w:eastAsia="zh-CN"/>
        </w:rPr>
        <w:t>937.59</w:t>
      </w:r>
      <w:r>
        <w:rPr>
          <w:rFonts w:eastAsia="仿宋_GB2312"/>
          <w:sz w:val="32"/>
          <w:szCs w:val="32"/>
          <w:highlight w:val="none"/>
          <w:u w:val="single"/>
        </w:rPr>
        <w:t xml:space="preserve"> </w:t>
      </w:r>
      <w:r>
        <w:rPr>
          <w:rFonts w:eastAsia="仿宋_GB2312"/>
          <w:sz w:val="32"/>
          <w:szCs w:val="32"/>
          <w:highlight w:val="none"/>
        </w:rPr>
        <w:t>万元。其中，财政本年拨款金额</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841</w:t>
      </w:r>
      <w:r>
        <w:rPr>
          <w:rFonts w:eastAsia="仿宋_GB2312"/>
          <w:sz w:val="32"/>
          <w:szCs w:val="32"/>
          <w:highlight w:val="none"/>
          <w:u w:val="single"/>
        </w:rPr>
        <w:t xml:space="preserve"> </w:t>
      </w:r>
      <w:r>
        <w:rPr>
          <w:rFonts w:eastAsia="仿宋_GB2312"/>
          <w:sz w:val="32"/>
          <w:szCs w:val="32"/>
          <w:highlight w:val="none"/>
        </w:rPr>
        <w:t>万元，财政拨款结转结余</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96.59</w:t>
      </w:r>
      <w:r>
        <w:rPr>
          <w:rFonts w:eastAsia="仿宋_GB2312"/>
          <w:sz w:val="32"/>
          <w:szCs w:val="32"/>
          <w:highlight w:val="none"/>
          <w:u w:val="single"/>
        </w:rPr>
        <w:t xml:space="preserve">   </w:t>
      </w:r>
      <w:r>
        <w:rPr>
          <w:rFonts w:eastAsia="仿宋_GB2312"/>
          <w:sz w:val="32"/>
          <w:szCs w:val="32"/>
          <w:highlight w:val="none"/>
        </w:rPr>
        <w:t>万元，财政专户管理资金</w:t>
      </w:r>
      <w:r>
        <w:rPr>
          <w:rFonts w:eastAsia="仿宋_GB2312"/>
          <w:sz w:val="32"/>
          <w:szCs w:val="32"/>
          <w:highlight w:val="non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万元，单位资金</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val="en-US" w:eastAsia="zh-CN"/>
        </w:rPr>
        <w:t>其中：2025年2025年人才工作项目资金</w:t>
      </w:r>
      <w:r>
        <w:rPr>
          <w:rFonts w:eastAsia="仿宋_GB2312"/>
          <w:sz w:val="32"/>
          <w:szCs w:val="32"/>
          <w:highlight w:val="none"/>
        </w:rPr>
        <w:t>财政本年拨款金额</w:t>
      </w:r>
      <w:r>
        <w:rPr>
          <w:rFonts w:hint="eastAsia" w:eastAsia="仿宋_GB2312"/>
          <w:sz w:val="32"/>
          <w:szCs w:val="32"/>
          <w:highlight w:val="none"/>
          <w:u w:val="single"/>
          <w:lang w:val="en-US" w:eastAsia="zh-CN"/>
        </w:rPr>
        <w:t>3</w:t>
      </w:r>
      <w:r>
        <w:rPr>
          <w:rFonts w:hint="eastAsia" w:eastAsia="仿宋_GB2312"/>
          <w:sz w:val="32"/>
          <w:szCs w:val="32"/>
          <w:highlight w:val="none"/>
          <w:lang w:val="en-US" w:eastAsia="zh-CN"/>
        </w:rPr>
        <w:t>万元，脑卒中的一级预防与区域防治网络建设</w:t>
      </w:r>
      <w:r>
        <w:rPr>
          <w:rFonts w:eastAsia="仿宋_GB2312"/>
          <w:sz w:val="32"/>
          <w:szCs w:val="32"/>
          <w:highlight w:val="none"/>
        </w:rPr>
        <w:t>财政拨款结转结余</w:t>
      </w:r>
      <w:r>
        <w:rPr>
          <w:rFonts w:hint="eastAsia" w:eastAsia="仿宋_GB2312"/>
          <w:sz w:val="32"/>
          <w:szCs w:val="32"/>
          <w:highlight w:val="none"/>
          <w:u w:val="single"/>
          <w:lang w:val="en-US" w:eastAsia="zh-CN"/>
        </w:rPr>
        <w:t>0.18</w:t>
      </w:r>
      <w:r>
        <w:rPr>
          <w:rFonts w:hint="eastAsia" w:eastAsia="仿宋_GB2312"/>
          <w:sz w:val="32"/>
          <w:szCs w:val="32"/>
          <w:highlight w:val="none"/>
          <w:lang w:val="en-US" w:eastAsia="zh-CN"/>
        </w:rPr>
        <w:t>万元，自然科学基金（2023年）</w:t>
      </w:r>
      <w:r>
        <w:rPr>
          <w:rFonts w:eastAsia="仿宋_GB2312"/>
          <w:sz w:val="32"/>
          <w:szCs w:val="32"/>
          <w:highlight w:val="none"/>
        </w:rPr>
        <w:t>财政拨款结转结余</w:t>
      </w:r>
      <w:r>
        <w:rPr>
          <w:rFonts w:hint="eastAsia" w:eastAsia="仿宋_GB2312"/>
          <w:sz w:val="32"/>
          <w:szCs w:val="32"/>
          <w:highlight w:val="none"/>
          <w:u w:val="single"/>
          <w:lang w:val="en-US" w:eastAsia="zh-CN"/>
        </w:rPr>
        <w:t>2.72</w:t>
      </w:r>
      <w:r>
        <w:rPr>
          <w:rFonts w:hint="eastAsia" w:eastAsia="仿宋_GB2312"/>
          <w:sz w:val="32"/>
          <w:szCs w:val="32"/>
          <w:highlight w:val="none"/>
          <w:lang w:val="en-US" w:eastAsia="zh-CN"/>
        </w:rPr>
        <w:t>万元，蒙药额尔敦乌日勒及提取物在阿尔茨海默氏病中的应用研究</w:t>
      </w:r>
      <w:r>
        <w:rPr>
          <w:rFonts w:eastAsia="仿宋_GB2312"/>
          <w:sz w:val="32"/>
          <w:szCs w:val="32"/>
          <w:highlight w:val="none"/>
        </w:rPr>
        <w:t>财政拨款结转结余</w:t>
      </w:r>
      <w:r>
        <w:rPr>
          <w:rFonts w:hint="eastAsia" w:eastAsia="仿宋_GB2312"/>
          <w:sz w:val="32"/>
          <w:szCs w:val="32"/>
          <w:highlight w:val="none"/>
          <w:u w:val="single"/>
          <w:lang w:val="en-US" w:eastAsia="zh-CN"/>
        </w:rPr>
        <w:t>7.85</w:t>
      </w:r>
      <w:r>
        <w:rPr>
          <w:rFonts w:hint="eastAsia" w:eastAsia="仿宋_GB2312"/>
          <w:sz w:val="32"/>
          <w:szCs w:val="32"/>
          <w:highlight w:val="none"/>
          <w:lang w:val="en-US" w:eastAsia="zh-CN"/>
        </w:rPr>
        <w:t>万元，自然科学基金（2024年）</w:t>
      </w:r>
      <w:r>
        <w:rPr>
          <w:rFonts w:eastAsia="仿宋_GB2312"/>
          <w:sz w:val="32"/>
          <w:szCs w:val="32"/>
          <w:highlight w:val="none"/>
        </w:rPr>
        <w:t>财政拨款结转结余</w:t>
      </w:r>
      <w:r>
        <w:rPr>
          <w:rFonts w:hint="eastAsia" w:eastAsia="仿宋_GB2312"/>
          <w:sz w:val="32"/>
          <w:szCs w:val="32"/>
          <w:highlight w:val="none"/>
          <w:u w:val="single"/>
          <w:lang w:val="en-US" w:eastAsia="zh-CN"/>
        </w:rPr>
        <w:t>35.17</w:t>
      </w:r>
      <w:r>
        <w:rPr>
          <w:rFonts w:hint="eastAsia" w:eastAsia="仿宋_GB2312"/>
          <w:sz w:val="32"/>
          <w:szCs w:val="32"/>
          <w:highlight w:val="none"/>
          <w:lang w:val="en-US" w:eastAsia="zh-CN"/>
        </w:rPr>
        <w:t>万元，酸马奶降血脂功能益生菌的筛选及相关产品的开发</w:t>
      </w:r>
      <w:r>
        <w:rPr>
          <w:rFonts w:eastAsia="仿宋_GB2312"/>
          <w:sz w:val="32"/>
          <w:szCs w:val="32"/>
          <w:highlight w:val="none"/>
        </w:rPr>
        <w:t>财政拨款结转结余</w:t>
      </w:r>
      <w:r>
        <w:rPr>
          <w:rFonts w:hint="eastAsia" w:eastAsia="仿宋_GB2312"/>
          <w:sz w:val="32"/>
          <w:szCs w:val="32"/>
          <w:highlight w:val="none"/>
          <w:u w:val="single"/>
          <w:lang w:val="en-US" w:eastAsia="zh-CN"/>
        </w:rPr>
        <w:t>15</w:t>
      </w:r>
      <w:r>
        <w:rPr>
          <w:rFonts w:hint="eastAsia" w:eastAsia="仿宋_GB2312"/>
          <w:sz w:val="32"/>
          <w:szCs w:val="32"/>
          <w:highlight w:val="none"/>
          <w:lang w:val="en-US" w:eastAsia="zh-CN"/>
        </w:rPr>
        <w:t>万元，上年结余蒙古黄芪、小秦艽等5种道地蒙中药材扶贫示范基地建设及种植技术推广</w:t>
      </w:r>
      <w:r>
        <w:rPr>
          <w:rFonts w:eastAsia="仿宋_GB2312"/>
          <w:sz w:val="32"/>
          <w:szCs w:val="32"/>
          <w:highlight w:val="none"/>
        </w:rPr>
        <w:t>财政拨款结转结余</w:t>
      </w:r>
      <w:r>
        <w:rPr>
          <w:rFonts w:hint="eastAsia" w:eastAsia="仿宋_GB2312"/>
          <w:sz w:val="32"/>
          <w:szCs w:val="32"/>
          <w:highlight w:val="none"/>
          <w:u w:val="single"/>
          <w:lang w:val="en-US" w:eastAsia="zh-CN"/>
        </w:rPr>
        <w:t>0.01</w:t>
      </w:r>
      <w:r>
        <w:rPr>
          <w:rFonts w:hint="eastAsia" w:eastAsia="仿宋_GB2312"/>
          <w:sz w:val="32"/>
          <w:szCs w:val="32"/>
          <w:highlight w:val="none"/>
          <w:lang w:val="en-US" w:eastAsia="zh-CN"/>
        </w:rPr>
        <w:t>万元，中(蒙)医能力建设和学术继承</w:t>
      </w:r>
      <w:r>
        <w:rPr>
          <w:rFonts w:eastAsia="仿宋_GB2312"/>
          <w:sz w:val="32"/>
          <w:szCs w:val="32"/>
          <w:highlight w:val="none"/>
        </w:rPr>
        <w:t>财政本年拨款金额</w:t>
      </w:r>
      <w:r>
        <w:rPr>
          <w:rFonts w:hint="eastAsia" w:eastAsia="仿宋_GB2312"/>
          <w:sz w:val="32"/>
          <w:szCs w:val="32"/>
          <w:highlight w:val="none"/>
          <w:u w:val="single"/>
          <w:lang w:val="en-US" w:eastAsia="zh-CN"/>
        </w:rPr>
        <w:t>566</w:t>
      </w:r>
      <w:r>
        <w:rPr>
          <w:rFonts w:hint="eastAsia" w:eastAsia="仿宋_GB2312"/>
          <w:sz w:val="32"/>
          <w:szCs w:val="32"/>
          <w:highlight w:val="none"/>
          <w:lang w:val="en-US" w:eastAsia="zh-CN"/>
        </w:rPr>
        <w:t>万元，医疗服务与保障能力提升（中医药事业传承与发展部分）</w:t>
      </w:r>
      <w:r>
        <w:rPr>
          <w:rFonts w:eastAsia="仿宋_GB2312"/>
          <w:sz w:val="32"/>
          <w:szCs w:val="32"/>
          <w:highlight w:val="none"/>
        </w:rPr>
        <w:t>财政本年拨款金额</w:t>
      </w:r>
      <w:r>
        <w:rPr>
          <w:rFonts w:hint="eastAsia" w:eastAsia="仿宋_GB2312"/>
          <w:sz w:val="32"/>
          <w:szCs w:val="32"/>
          <w:highlight w:val="none"/>
          <w:u w:val="single"/>
          <w:lang w:val="en-US" w:eastAsia="zh-CN"/>
        </w:rPr>
        <w:t>260</w:t>
      </w:r>
      <w:r>
        <w:rPr>
          <w:rFonts w:hint="eastAsia" w:eastAsia="仿宋_GB2312"/>
          <w:sz w:val="32"/>
          <w:szCs w:val="32"/>
          <w:highlight w:val="none"/>
          <w:lang w:val="en-US" w:eastAsia="zh-CN"/>
        </w:rPr>
        <w:t>万元，医疗服务与保障能力提升（中医药事业传承与发展部分）</w:t>
      </w:r>
      <w:r>
        <w:rPr>
          <w:rFonts w:eastAsia="仿宋_GB2312"/>
          <w:sz w:val="32"/>
          <w:szCs w:val="32"/>
          <w:highlight w:val="none"/>
        </w:rPr>
        <w:t>财政拨款结转结余</w:t>
      </w:r>
      <w:r>
        <w:rPr>
          <w:rFonts w:hint="eastAsia" w:eastAsia="仿宋_GB2312"/>
          <w:sz w:val="32"/>
          <w:szCs w:val="32"/>
          <w:highlight w:val="none"/>
          <w:u w:val="single"/>
          <w:lang w:val="en-US" w:eastAsia="zh-CN"/>
        </w:rPr>
        <w:t>35.66</w:t>
      </w:r>
      <w:r>
        <w:rPr>
          <w:rFonts w:hint="eastAsia" w:eastAsia="仿宋_GB2312"/>
          <w:sz w:val="32"/>
          <w:szCs w:val="32"/>
          <w:highlight w:val="none"/>
          <w:lang w:val="en-US" w:eastAsia="zh-CN"/>
        </w:rPr>
        <w:t>万元，事业发展经费支出</w:t>
      </w:r>
      <w:r>
        <w:rPr>
          <w:rFonts w:eastAsia="仿宋_GB2312"/>
          <w:sz w:val="32"/>
          <w:szCs w:val="32"/>
          <w:highlight w:val="none"/>
        </w:rPr>
        <w:t>财政本年拨款金额</w:t>
      </w:r>
      <w:r>
        <w:rPr>
          <w:rFonts w:hint="eastAsia" w:eastAsia="仿宋_GB2312"/>
          <w:sz w:val="32"/>
          <w:szCs w:val="32"/>
          <w:highlight w:val="none"/>
          <w:u w:val="single"/>
          <w:lang w:val="en-US" w:eastAsia="zh-CN"/>
        </w:rPr>
        <w:t>12</w:t>
      </w:r>
      <w:r>
        <w:rPr>
          <w:rFonts w:hint="eastAsia" w:eastAsia="仿宋_GB2312"/>
          <w:sz w:val="32"/>
          <w:szCs w:val="32"/>
          <w:highlight w:val="none"/>
          <w:lang w:val="en-US" w:eastAsia="zh-CN"/>
        </w:rPr>
        <w:t>万元。</w:t>
      </w:r>
    </w:p>
    <w:p w14:paraId="4D2FDC77">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十一、</w:t>
      </w:r>
      <w:r>
        <w:rPr>
          <w:rFonts w:hint="eastAsia" w:eastAsia="黑体" w:cs="黑体"/>
          <w:sz w:val="32"/>
          <w:szCs w:val="36"/>
          <w:highlight w:val="none"/>
          <w:lang w:val="en-US" w:eastAsia="zh-CN"/>
        </w:rPr>
        <w:t>机构</w:t>
      </w:r>
      <w:r>
        <w:rPr>
          <w:rFonts w:hint="eastAsia" w:eastAsia="黑体" w:cs="黑体"/>
          <w:sz w:val="32"/>
          <w:szCs w:val="36"/>
          <w:highlight w:val="none"/>
        </w:rPr>
        <w:t>运行经费支出预算情况说明</w:t>
      </w:r>
    </w:p>
    <w:p w14:paraId="7AE24F89">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w:t>
      </w:r>
      <w:r>
        <w:rPr>
          <w:rFonts w:hint="eastAsia" w:eastAsia="仿宋_GB2312"/>
          <w:sz w:val="32"/>
          <w:szCs w:val="32"/>
          <w:highlight w:val="none"/>
          <w:lang w:val="en-US" w:eastAsia="zh-CN"/>
        </w:rPr>
        <w:t>机构</w:t>
      </w:r>
      <w:r>
        <w:rPr>
          <w:rFonts w:eastAsia="仿宋_GB2312"/>
          <w:sz w:val="32"/>
          <w:szCs w:val="32"/>
          <w:highlight w:val="none"/>
        </w:rPr>
        <w:t>运行经费预算支出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cstheme="minorBidi"/>
          <w:sz w:val="32"/>
          <w:szCs w:val="32"/>
          <w:highlight w:val="none"/>
        </w:rPr>
        <w:t>，</w:t>
      </w:r>
      <w:r>
        <w:rPr>
          <w:rFonts w:eastAsia="仿宋_GB2312"/>
          <w:sz w:val="32"/>
          <w:szCs w:val="32"/>
          <w:highlight w:val="none"/>
        </w:rPr>
        <w:t>与上年相比</w:t>
      </w:r>
      <w:r>
        <w:rPr>
          <w:rFonts w:hint="eastAsia" w:eastAsia="仿宋_GB2312"/>
          <w:sz w:val="32"/>
          <w:szCs w:val="32"/>
          <w:highlight w:val="none"/>
          <w:lang w:val="en-US" w:eastAsia="zh-CN"/>
        </w:rPr>
        <w:t>无变化，无增减浮动，主要原因是</w:t>
      </w:r>
      <w:r>
        <w:rPr>
          <w:rFonts w:hint="eastAsia" w:ascii="仿宋_GB2312" w:hAnsi="仿宋_GB2312" w:eastAsia="仿宋_GB2312"/>
          <w:sz w:val="32"/>
          <w:szCs w:val="24"/>
          <w:highlight w:val="none"/>
          <w:lang w:val="en-US" w:eastAsia="zh-CN"/>
        </w:rPr>
        <w:t>无</w:t>
      </w:r>
      <w:r>
        <w:rPr>
          <w:rFonts w:hint="eastAsia" w:ascii="仿宋_GB2312" w:hAnsi="仿宋_GB2312" w:eastAsia="仿宋_GB2312"/>
          <w:sz w:val="32"/>
          <w:szCs w:val="24"/>
          <w:highlight w:val="none"/>
        </w:rPr>
        <w:t>机构运行经费支出预算</w:t>
      </w:r>
      <w:r>
        <w:rPr>
          <w:rFonts w:eastAsia="仿宋_GB2312"/>
          <w:sz w:val="32"/>
          <w:szCs w:val="32"/>
          <w:highlight w:val="none"/>
        </w:rPr>
        <w:t>。</w:t>
      </w:r>
    </w:p>
    <w:p w14:paraId="22A10561">
      <w:pPr>
        <w:spacing w:line="600" w:lineRule="exact"/>
        <w:ind w:left="0" w:leftChars="0" w:firstLine="640" w:firstLineChars="200"/>
        <w:outlineLvl w:val="2"/>
        <w:rPr>
          <w:rFonts w:eastAsia="黑体" w:cs="黑体"/>
          <w:b/>
          <w:bCs/>
          <w:sz w:val="32"/>
          <w:szCs w:val="36"/>
          <w:highlight w:val="none"/>
        </w:rPr>
      </w:pPr>
      <w:r>
        <w:rPr>
          <w:rFonts w:hint="eastAsia" w:eastAsia="黑体" w:cs="黑体"/>
          <w:sz w:val="32"/>
          <w:szCs w:val="36"/>
          <w:highlight w:val="none"/>
        </w:rPr>
        <w:t>十二、政府采购支出预算情况说明</w:t>
      </w:r>
    </w:p>
    <w:p w14:paraId="183238B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年度政府采购支出预算总额</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 xml:space="preserve"> 135.77</w:t>
      </w:r>
      <w:r>
        <w:rPr>
          <w:rFonts w:eastAsia="仿宋_GB2312"/>
          <w:sz w:val="32"/>
          <w:szCs w:val="32"/>
          <w:highlight w:val="none"/>
          <w:u w:val="single"/>
        </w:rPr>
        <w:t xml:space="preserve">   </w:t>
      </w:r>
      <w:r>
        <w:rPr>
          <w:rFonts w:eastAsia="仿宋_GB2312"/>
          <w:sz w:val="32"/>
          <w:szCs w:val="32"/>
          <w:highlight w:val="none"/>
        </w:rPr>
        <w:t>万元，其中：拟采购货物支出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35.27</w:t>
      </w:r>
      <w:r>
        <w:rPr>
          <w:rFonts w:eastAsia="仿宋_GB2312"/>
          <w:sz w:val="32"/>
          <w:szCs w:val="32"/>
          <w:highlight w:val="none"/>
          <w:u w:val="single"/>
        </w:rPr>
        <w:t xml:space="preserve">  </w:t>
      </w:r>
      <w:r>
        <w:rPr>
          <w:rFonts w:eastAsia="仿宋_GB2312"/>
          <w:sz w:val="32"/>
          <w:szCs w:val="32"/>
          <w:highlight w:val="none"/>
        </w:rPr>
        <w:t>万元、拟采购工程支出</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万元、拟购买服务支出</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rPr>
        <w:t>12.14</w:t>
      </w:r>
      <w:r>
        <w:rPr>
          <w:rFonts w:eastAsia="仿宋_GB2312"/>
          <w:sz w:val="32"/>
          <w:szCs w:val="32"/>
          <w:highlight w:val="none"/>
          <w:u w:val="single"/>
        </w:rPr>
        <w:t xml:space="preserve">  </w:t>
      </w:r>
      <w:r>
        <w:rPr>
          <w:rFonts w:eastAsia="仿宋_GB2312"/>
          <w:sz w:val="32"/>
          <w:szCs w:val="32"/>
          <w:highlight w:val="none"/>
        </w:rPr>
        <w:t>万元。</w:t>
      </w:r>
      <w:r>
        <w:rPr>
          <w:rFonts w:hint="eastAsia" w:ascii="仿宋_GB2312" w:hAnsi="仿宋_GB2312" w:eastAsia="仿宋_GB2312" w:cs="仿宋_GB2312"/>
          <w:sz w:val="32"/>
          <w:szCs w:val="32"/>
          <w:lang w:val="en-US" w:eastAsia="zh-CN"/>
        </w:rPr>
        <w:t>采购金额来源为本级财政拨款及单位资金，一般公共预算资金安排</w:t>
      </w:r>
      <w:r>
        <w:rPr>
          <w:rFonts w:hint="eastAsia" w:eastAsia="仿宋_GB2312"/>
          <w:sz w:val="32"/>
          <w:szCs w:val="32"/>
          <w:highlight w:val="none"/>
          <w:u w:val="single"/>
          <w:lang w:val="en-US" w:eastAsia="zh-CN"/>
        </w:rPr>
        <w:t>25.85</w:t>
      </w:r>
      <w:r>
        <w:rPr>
          <w:rFonts w:hint="eastAsia" w:ascii="仿宋_GB2312" w:hAnsi="仿宋_GB2312" w:eastAsia="仿宋_GB2312" w:cs="仿宋_GB2312"/>
          <w:sz w:val="32"/>
          <w:szCs w:val="32"/>
          <w:lang w:val="en-US" w:eastAsia="zh-CN"/>
        </w:rPr>
        <w:t>万元，自有资金安排</w:t>
      </w:r>
      <w:r>
        <w:rPr>
          <w:rFonts w:hint="eastAsia" w:eastAsia="仿宋_GB2312"/>
          <w:sz w:val="32"/>
          <w:szCs w:val="32"/>
          <w:highlight w:val="none"/>
          <w:u w:val="single"/>
          <w:lang w:val="en-US" w:eastAsia="zh-CN"/>
        </w:rPr>
        <w:t>109.92</w:t>
      </w:r>
      <w:r>
        <w:rPr>
          <w:rFonts w:hint="eastAsia" w:ascii="仿宋_GB2312" w:hAnsi="仿宋_GB2312" w:eastAsia="仿宋_GB2312" w:cs="仿宋_GB2312"/>
          <w:sz w:val="32"/>
          <w:szCs w:val="32"/>
          <w:lang w:val="en-US" w:eastAsia="zh-CN"/>
        </w:rPr>
        <w:t>万元。较上年减少</w:t>
      </w:r>
      <w:r>
        <w:rPr>
          <w:rFonts w:hint="eastAsia" w:eastAsia="仿宋_GB2312"/>
          <w:sz w:val="32"/>
          <w:szCs w:val="32"/>
          <w:highlight w:val="none"/>
          <w:u w:val="single"/>
          <w:lang w:val="en-US" w:eastAsia="zh-CN"/>
        </w:rPr>
        <w:t>47.73</w:t>
      </w:r>
      <w:r>
        <w:rPr>
          <w:rFonts w:hint="eastAsia" w:ascii="仿宋_GB2312" w:hAnsi="仿宋_GB2312" w:eastAsia="仿宋_GB2312" w:cs="仿宋_GB2312"/>
          <w:sz w:val="32"/>
          <w:szCs w:val="32"/>
          <w:lang w:val="en-US" w:eastAsia="zh-CN"/>
        </w:rPr>
        <w:t>万元，降幅</w:t>
      </w:r>
      <w:r>
        <w:rPr>
          <w:rFonts w:hint="eastAsia" w:eastAsia="仿宋_GB2312"/>
          <w:sz w:val="32"/>
          <w:szCs w:val="32"/>
          <w:highlight w:val="none"/>
          <w:u w:val="single"/>
          <w:lang w:val="en-US" w:eastAsia="zh-CN"/>
        </w:rPr>
        <w:t>26.01</w:t>
      </w:r>
      <w:r>
        <w:rPr>
          <w:rFonts w:hint="eastAsia" w:ascii="仿宋_GB2312" w:hAnsi="仿宋_GB2312" w:eastAsia="仿宋_GB2312" w:cs="仿宋_GB2312"/>
          <w:sz w:val="32"/>
          <w:szCs w:val="32"/>
          <w:lang w:val="en-US" w:eastAsia="zh-CN"/>
        </w:rPr>
        <w:t>%，主要原因为本年度不存在维修改造项目且基础办公设施设备已于之前年度基本购置完成。</w:t>
      </w:r>
    </w:p>
    <w:p w14:paraId="79D40F45">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十三、国有资产占用情况说明</w:t>
      </w:r>
    </w:p>
    <w:p w14:paraId="351FF81D">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eastAsia="仿宋_GB2312"/>
          <w:sz w:val="32"/>
          <w:szCs w:val="32"/>
          <w:highlight w:val="none"/>
        </w:rPr>
        <w:t>共有车辆</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辆，其中，一般公务用车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辆、执法执勤用车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辆、特种专业技术用车</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辆、业务用车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辆、其他用车</w:t>
      </w:r>
      <w:r>
        <w:rPr>
          <w:rFonts w:eastAsia="仿宋_GB2312"/>
          <w:sz w:val="32"/>
          <w:szCs w:val="32"/>
          <w:highlight w:val="none"/>
          <w:u w:val="single"/>
        </w:rPr>
        <w:tab/>
      </w:r>
      <w:r>
        <w:rPr>
          <w:rFonts w:eastAsia="仿宋_GB2312"/>
          <w:sz w:val="32"/>
          <w:szCs w:val="32"/>
          <w:highlight w:val="none"/>
          <w:u w:val="single"/>
        </w:rPr>
        <w:t xml:space="preserve"> </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辆等。单价50万元（含）以上的通用设备</w:t>
      </w:r>
      <w:r>
        <w:rPr>
          <w:rFonts w:eastAsia="仿宋_GB2312"/>
          <w:sz w:val="32"/>
          <w:szCs w:val="32"/>
          <w:highlight w:val="none"/>
          <w:u w:val="single"/>
        </w:rPr>
        <w:tab/>
      </w:r>
      <w:r>
        <w:rPr>
          <w:rFonts w:hint="eastAsia" w:eastAsia="仿宋_GB2312"/>
          <w:sz w:val="32"/>
          <w:szCs w:val="32"/>
          <w:highlight w:val="none"/>
          <w:u w:val="single"/>
          <w:lang w:val="en-US" w:eastAsia="zh-CN"/>
        </w:rPr>
        <w:t>9</w:t>
      </w:r>
      <w:r>
        <w:rPr>
          <w:rFonts w:eastAsia="仿宋_GB2312"/>
          <w:sz w:val="32"/>
          <w:szCs w:val="32"/>
          <w:highlight w:val="none"/>
          <w:u w:val="single"/>
        </w:rPr>
        <w:t xml:space="preserve">  </w:t>
      </w:r>
      <w:r>
        <w:rPr>
          <w:rFonts w:eastAsia="仿宋_GB2312"/>
          <w:sz w:val="32"/>
          <w:szCs w:val="32"/>
          <w:highlight w:val="none"/>
        </w:rPr>
        <w:t>台（套），单价100万元（含）以上的专用设备</w:t>
      </w:r>
      <w:r>
        <w:rPr>
          <w:rFonts w:eastAsia="仿宋_GB2312"/>
          <w:sz w:val="32"/>
          <w:szCs w:val="32"/>
          <w:highlight w:val="none"/>
          <w:u w:val="single"/>
        </w:rPr>
        <w:tab/>
      </w:r>
      <w:r>
        <w:rPr>
          <w:rFonts w:hint="eastAsia" w:eastAsia="仿宋_GB2312"/>
          <w:sz w:val="32"/>
          <w:szCs w:val="32"/>
          <w:highlight w:val="none"/>
          <w:u w:val="single"/>
          <w:lang w:val="en-US" w:eastAsia="zh-CN"/>
        </w:rPr>
        <w:t>3</w:t>
      </w:r>
      <w:r>
        <w:rPr>
          <w:rFonts w:eastAsia="仿宋_GB2312"/>
          <w:sz w:val="32"/>
          <w:szCs w:val="32"/>
          <w:highlight w:val="none"/>
          <w:u w:val="single"/>
        </w:rPr>
        <w:t xml:space="preserve">  </w:t>
      </w:r>
      <w:r>
        <w:rPr>
          <w:rFonts w:eastAsia="仿宋_GB2312"/>
          <w:sz w:val="32"/>
          <w:szCs w:val="32"/>
          <w:highlight w:val="none"/>
        </w:rPr>
        <w:t>台（套）。</w:t>
      </w:r>
    </w:p>
    <w:p w14:paraId="7D8ECD4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30" w:firstLineChars="197"/>
        <w:jc w:val="left"/>
        <w:textAlignment w:val="auto"/>
        <w:rPr>
          <w:rFonts w:eastAsia="仿宋_GB2312"/>
          <w:sz w:val="32"/>
          <w:szCs w:val="32"/>
          <w:highlight w:val="none"/>
        </w:rPr>
      </w:pPr>
      <w:r>
        <w:rPr>
          <w:rFonts w:hint="eastAsia" w:ascii="仿宋_GB2312" w:hAnsi="仿宋_GB2312" w:eastAsia="仿宋_GB2312" w:cs="仿宋_GB2312"/>
          <w:sz w:val="32"/>
          <w:szCs w:val="32"/>
          <w:lang w:val="en-US" w:eastAsia="zh-CN"/>
        </w:rPr>
        <w:t>2025年国有资产配置计划资金</w:t>
      </w:r>
      <w:r>
        <w:rPr>
          <w:rFonts w:hint="default" w:ascii="Times New Roman" w:hAnsi="Times New Roman" w:eastAsia="仿宋_GB2312" w:cs="Times New Roman"/>
          <w:sz w:val="32"/>
          <w:szCs w:val="32"/>
          <w:u w:val="single"/>
          <w:lang w:val="en-US" w:eastAsia="zh-CN"/>
        </w:rPr>
        <w:t>56.97</w:t>
      </w:r>
      <w:r>
        <w:rPr>
          <w:rFonts w:hint="eastAsia" w:ascii="仿宋_GB2312" w:hAnsi="仿宋_GB2312" w:eastAsia="仿宋_GB2312" w:cs="仿宋_GB2312"/>
          <w:sz w:val="32"/>
          <w:szCs w:val="32"/>
          <w:lang w:val="en-US" w:eastAsia="zh-CN"/>
        </w:rPr>
        <w:t>万元，计划新增资产</w:t>
      </w:r>
      <w:r>
        <w:rPr>
          <w:rFonts w:hint="default" w:ascii="Times New Roman" w:hAnsi="Times New Roman" w:eastAsia="仿宋_GB2312" w:cs="Times New Roman"/>
          <w:sz w:val="32"/>
          <w:szCs w:val="32"/>
          <w:u w:val="single"/>
          <w:lang w:val="en-US" w:eastAsia="zh-CN"/>
        </w:rPr>
        <w:t>142</w:t>
      </w:r>
      <w:r>
        <w:rPr>
          <w:rFonts w:hint="eastAsia" w:ascii="仿宋_GB2312" w:hAnsi="仿宋_GB2312" w:eastAsia="仿宋_GB2312" w:cs="仿宋_GB2312"/>
          <w:sz w:val="32"/>
          <w:szCs w:val="32"/>
          <w:lang w:val="en-US" w:eastAsia="zh-CN"/>
        </w:rPr>
        <w:t>台/件/组。计算机类设备配置计划</w:t>
      </w:r>
      <w:r>
        <w:rPr>
          <w:rFonts w:hint="default" w:ascii="Times New Roman" w:hAnsi="Times New Roman" w:eastAsia="仿宋_GB2312" w:cs="Times New Roman"/>
          <w:sz w:val="32"/>
          <w:szCs w:val="32"/>
          <w:u w:val="single"/>
          <w:lang w:val="en-US" w:eastAsia="zh-CN"/>
        </w:rPr>
        <w:t>14</w:t>
      </w:r>
      <w:r>
        <w:rPr>
          <w:rFonts w:hint="eastAsia" w:ascii="仿宋_GB2312" w:hAnsi="仿宋_GB2312" w:eastAsia="仿宋_GB2312" w:cs="仿宋_GB2312"/>
          <w:sz w:val="32"/>
          <w:szCs w:val="32"/>
          <w:lang w:val="en-US" w:eastAsia="zh-CN"/>
        </w:rPr>
        <w:t>台，资金预算</w:t>
      </w:r>
      <w:r>
        <w:rPr>
          <w:rFonts w:hint="default" w:ascii="Times New Roman" w:hAnsi="Times New Roman" w:eastAsia="仿宋_GB2312" w:cs="Times New Roman"/>
          <w:sz w:val="32"/>
          <w:szCs w:val="32"/>
          <w:u w:val="single"/>
          <w:lang w:val="en-US" w:eastAsia="zh-CN"/>
        </w:rPr>
        <w:t>8.03</w:t>
      </w:r>
      <w:r>
        <w:rPr>
          <w:rFonts w:hint="eastAsia" w:ascii="仿宋_GB2312" w:hAnsi="仿宋_GB2312" w:eastAsia="仿宋_GB2312" w:cs="仿宋_GB2312"/>
          <w:sz w:val="32"/>
          <w:szCs w:val="32"/>
          <w:lang w:val="en-US" w:eastAsia="zh-CN"/>
        </w:rPr>
        <w:t>万元；办公设备配置计划</w:t>
      </w:r>
      <w:r>
        <w:rPr>
          <w:rFonts w:hint="default" w:ascii="Times New Roman" w:hAnsi="Times New Roman" w:eastAsia="仿宋_GB2312" w:cs="Times New Roman"/>
          <w:sz w:val="32"/>
          <w:szCs w:val="32"/>
          <w:u w:val="single"/>
          <w:lang w:val="en-US" w:eastAsia="zh-CN"/>
        </w:rPr>
        <w:t>15</w:t>
      </w:r>
      <w:r>
        <w:rPr>
          <w:rFonts w:hint="eastAsia" w:ascii="仿宋_GB2312" w:hAnsi="仿宋_GB2312" w:eastAsia="仿宋_GB2312" w:cs="仿宋_GB2312"/>
          <w:sz w:val="32"/>
          <w:szCs w:val="32"/>
          <w:lang w:val="en-US" w:eastAsia="zh-CN"/>
        </w:rPr>
        <w:t>台，资金预算</w:t>
      </w:r>
      <w:r>
        <w:rPr>
          <w:rFonts w:hint="default" w:ascii="Times New Roman" w:hAnsi="Times New Roman" w:eastAsia="仿宋_GB2312" w:cs="Times New Roman"/>
          <w:sz w:val="32"/>
          <w:szCs w:val="32"/>
          <w:u w:val="single"/>
          <w:lang w:val="en-US" w:eastAsia="zh-CN"/>
        </w:rPr>
        <w:t>27.71</w:t>
      </w:r>
      <w:r>
        <w:rPr>
          <w:rFonts w:hint="eastAsia" w:ascii="仿宋_GB2312" w:hAnsi="仿宋_GB2312" w:eastAsia="仿宋_GB2312" w:cs="仿宋_GB2312"/>
          <w:sz w:val="32"/>
          <w:szCs w:val="32"/>
          <w:lang w:val="en-US" w:eastAsia="zh-CN"/>
        </w:rPr>
        <w:t>万元，办公家具类配置计划</w:t>
      </w:r>
      <w:r>
        <w:rPr>
          <w:rFonts w:hint="default" w:ascii="Times New Roman" w:hAnsi="Times New Roman" w:eastAsia="仿宋_GB2312" w:cs="Times New Roman"/>
          <w:sz w:val="32"/>
          <w:szCs w:val="32"/>
          <w:u w:val="single"/>
          <w:lang w:val="en-US" w:eastAsia="zh-CN"/>
        </w:rPr>
        <w:t>93</w:t>
      </w:r>
      <w:r>
        <w:rPr>
          <w:rFonts w:hint="eastAsia" w:ascii="仿宋_GB2312" w:hAnsi="仿宋_GB2312" w:eastAsia="仿宋_GB2312" w:cs="仿宋_GB2312"/>
          <w:sz w:val="32"/>
          <w:szCs w:val="32"/>
          <w:lang w:val="en-US" w:eastAsia="zh-CN"/>
        </w:rPr>
        <w:t>件，资金预算</w:t>
      </w:r>
      <w:r>
        <w:rPr>
          <w:rFonts w:hint="default" w:ascii="Times New Roman" w:hAnsi="Times New Roman" w:eastAsia="仿宋_GB2312" w:cs="Times New Roman"/>
          <w:sz w:val="32"/>
          <w:szCs w:val="32"/>
          <w:u w:val="single"/>
          <w:lang w:val="en-US" w:eastAsia="zh-CN"/>
        </w:rPr>
        <w:t>10.23</w:t>
      </w:r>
      <w:r>
        <w:rPr>
          <w:rFonts w:hint="eastAsia" w:ascii="仿宋_GB2312" w:hAnsi="仿宋_GB2312" w:eastAsia="仿宋_GB2312" w:cs="仿宋_GB2312"/>
          <w:sz w:val="32"/>
          <w:szCs w:val="32"/>
          <w:lang w:val="en-US" w:eastAsia="zh-CN"/>
        </w:rPr>
        <w:t>万元。</w:t>
      </w:r>
    </w:p>
    <w:p w14:paraId="0E525CE7">
      <w:pPr>
        <w:spacing w:line="600" w:lineRule="exact"/>
        <w:ind w:left="0" w:leftChars="0" w:firstLine="640" w:firstLineChars="200"/>
        <w:outlineLvl w:val="2"/>
        <w:rPr>
          <w:rFonts w:hint="eastAsia" w:eastAsia="黑体" w:cs="黑体"/>
          <w:sz w:val="32"/>
          <w:szCs w:val="36"/>
          <w:highlight w:val="none"/>
        </w:rPr>
      </w:pPr>
    </w:p>
    <w:p w14:paraId="1DF9CA1F">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 xml:space="preserve">十四、项目绩效目标情况说明 </w:t>
      </w:r>
    </w:p>
    <w:p w14:paraId="27A94ABA">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内蒙古自治区中蒙医药研究院</w:t>
      </w:r>
      <w:r>
        <w:rPr>
          <w:rFonts w:hint="eastAsia" w:ascii="仿宋_GB2312" w:hAnsi="仿宋_GB2312" w:eastAsia="仿宋_GB2312" w:cs="仿宋"/>
          <w:sz w:val="32"/>
          <w:szCs w:val="32"/>
          <w:highlight w:val="none"/>
          <w:u w:val="none"/>
          <w:lang w:val="en-US" w:eastAsia="zh-CN"/>
        </w:rPr>
        <w:t>2025</w:t>
      </w:r>
      <w:r>
        <w:rPr>
          <w:rFonts w:eastAsia="仿宋_GB2312"/>
          <w:sz w:val="32"/>
          <w:szCs w:val="32"/>
          <w:highlight w:val="none"/>
        </w:rPr>
        <w:t>年度</w:t>
      </w:r>
      <w:r>
        <w:rPr>
          <w:rFonts w:hint="eastAsia" w:eastAsia="仿宋_GB2312" w:cstheme="minorBidi"/>
          <w:sz w:val="32"/>
          <w:szCs w:val="32"/>
          <w:highlight w:val="none"/>
        </w:rPr>
        <w:t>填报绩效目标的预算项目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lang w:val="en-US" w:eastAsia="zh-CN"/>
        </w:rPr>
        <w:t>9</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w:t>
      </w:r>
      <w:r>
        <w:rPr>
          <w:rFonts w:hint="eastAsia" w:eastAsia="仿宋_GB2312" w:cstheme="minorBidi"/>
          <w:sz w:val="32"/>
          <w:szCs w:val="32"/>
          <w:highlight w:val="none"/>
          <w:lang w:val="en-US" w:eastAsia="zh-CN"/>
        </w:rPr>
        <w:t>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u w:val="single"/>
          <w:lang w:val="en-US" w:eastAsia="zh-CN"/>
        </w:rPr>
        <w:t>9</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个，公开项目占全部预算项目的</w:t>
      </w:r>
      <w:r>
        <w:rPr>
          <w:rFonts w:hint="eastAsia" w:eastAsia="仿宋_GB2312" w:cstheme="minorBidi"/>
          <w:sz w:val="32"/>
          <w:szCs w:val="32"/>
          <w:highlight w:val="none"/>
          <w:lang w:val="en-US" w:eastAsia="zh-CN"/>
        </w:rPr>
        <w:t>90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。公开填报绩效目标的项目预算</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u w:val="single"/>
          <w:lang w:val="en-US" w:eastAsia="zh-CN"/>
        </w:rPr>
        <w:t>3677.51</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万元，占全部项目预算的</w:t>
      </w:r>
      <w:r>
        <w:rPr>
          <w:rFonts w:hint="eastAsia" w:eastAsia="仿宋_GB2312" w:cstheme="minorBidi"/>
          <w:sz w:val="32"/>
          <w:szCs w:val="32"/>
          <w:highlight w:val="none"/>
          <w:lang w:val="en-US" w:eastAsia="zh-CN"/>
        </w:rPr>
        <w:t>99.97</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 xml:space="preserve">。 </w:t>
      </w:r>
    </w:p>
    <w:p w14:paraId="694C7C05">
      <w:pPr>
        <w:pStyle w:val="18"/>
        <w:spacing w:after="0" w:line="600" w:lineRule="exact"/>
        <w:rPr>
          <w:rFonts w:hint="default" w:ascii="方正小标宋简体" w:hAnsi="方正小标宋简体" w:eastAsia="方正小标宋简体" w:cs="方正小标宋简体"/>
          <w:sz w:val="36"/>
          <w:szCs w:val="36"/>
          <w:highlight w:val="none"/>
        </w:rPr>
      </w:pPr>
    </w:p>
    <w:p w14:paraId="3524977A">
      <w:pPr>
        <w:rPr>
          <w:rFonts w:hint="eastAsia" w:ascii="方正小标宋简体" w:hAnsi="方正小标宋简体" w:eastAsia="方正小标宋简体" w:cs="方正小标宋简体"/>
          <w:b w:val="0"/>
          <w:bCs w:val="0"/>
          <w:sz w:val="36"/>
          <w:szCs w:val="36"/>
          <w:highlight w:val="none"/>
        </w:rPr>
      </w:pPr>
      <w:bookmarkStart w:id="2" w:name="_Toc15573"/>
      <w:r>
        <w:rPr>
          <w:rFonts w:hint="eastAsia" w:ascii="方正小标宋简体" w:hAnsi="方正小标宋简体" w:eastAsia="方正小标宋简体" w:cs="方正小标宋简体"/>
          <w:b w:val="0"/>
          <w:bCs w:val="0"/>
          <w:sz w:val="36"/>
          <w:szCs w:val="36"/>
          <w:highlight w:val="none"/>
        </w:rPr>
        <w:br w:type="page"/>
      </w:r>
    </w:p>
    <w:p w14:paraId="583AB82E">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2"/>
    </w:p>
    <w:p w14:paraId="004CE69A">
      <w:pPr>
        <w:rPr>
          <w:sz w:val="36"/>
          <w:szCs w:val="36"/>
          <w:highlight w:val="none"/>
        </w:rPr>
      </w:pPr>
    </w:p>
    <w:p w14:paraId="6CACD2F2">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14:paraId="6D7ACE17">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14:paraId="3998C36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14:paraId="71EF5576">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14:paraId="50598342">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14:paraId="763B30E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14:paraId="445E7BF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14:paraId="08AB9BFA">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14:paraId="0075EBF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79C3D939">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（各部门（单位）应根据公开预算表中对应的经费情况进行名词解释，对未涉及的名词可以删除</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14:paraId="2E4EC651">
      <w:pPr>
        <w:spacing w:line="600" w:lineRule="exact"/>
        <w:jc w:val="center"/>
        <w:rPr>
          <w:rFonts w:ascii="方正小标宋简体" w:hAnsi="方正小标宋简体" w:eastAsia="方正小标宋简体" w:cs="方正小标宋简体"/>
          <w:sz w:val="36"/>
          <w:szCs w:val="36"/>
          <w:highlight w:val="none"/>
        </w:rPr>
      </w:pPr>
    </w:p>
    <w:p w14:paraId="23F85978">
      <w:pPr>
        <w:rPr>
          <w:rFonts w:hint="eastAsia" w:ascii="方正小标宋简体" w:hAnsi="方正小标宋简体" w:eastAsia="方正小标宋简体" w:cs="方正小标宋简体"/>
          <w:b w:val="0"/>
          <w:bCs w:val="0"/>
          <w:sz w:val="36"/>
          <w:szCs w:val="36"/>
          <w:highlight w:val="none"/>
        </w:rPr>
      </w:pPr>
      <w:bookmarkStart w:id="3" w:name="_Toc21331"/>
      <w:r>
        <w:rPr>
          <w:rFonts w:hint="eastAsia" w:ascii="方正小标宋简体" w:hAnsi="方正小标宋简体" w:eastAsia="方正小标宋简体" w:cs="方正小标宋简体"/>
          <w:b w:val="0"/>
          <w:bCs w:val="0"/>
          <w:sz w:val="36"/>
          <w:szCs w:val="36"/>
          <w:highlight w:val="none"/>
        </w:rPr>
        <w:br w:type="page"/>
      </w:r>
    </w:p>
    <w:p w14:paraId="7F6D2932">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预算公开联系方式及信息反馈渠道</w:t>
      </w:r>
      <w:bookmarkEnd w:id="3"/>
    </w:p>
    <w:p w14:paraId="52CB124F">
      <w:pPr>
        <w:snapToGrid w:val="0"/>
        <w:spacing w:line="600" w:lineRule="exact"/>
        <w:rPr>
          <w:rFonts w:ascii="方正小标宋简体" w:hAnsi="方正小标宋简体" w:eastAsia="方正小标宋简体" w:cs="方正小标宋简体"/>
          <w:sz w:val="36"/>
          <w:szCs w:val="36"/>
          <w:highlight w:val="none"/>
        </w:rPr>
      </w:pPr>
    </w:p>
    <w:p w14:paraId="1B9D4641">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14:paraId="5AD12C95">
      <w:pPr>
        <w:snapToGrid w:val="0"/>
        <w:spacing w:line="600" w:lineRule="exact"/>
        <w:ind w:firstLine="640" w:firstLineChars="200"/>
        <w:rPr>
          <w:rFonts w:hint="default" w:ascii="仿宋_GB2312" w:hAnsi="仿宋_GB2312" w:eastAsia="仿宋_GB2312" w:cs="仿宋_GB2312"/>
          <w:sz w:val="32"/>
          <w:szCs w:val="32"/>
          <w:highlight w:val="none"/>
          <w:lang w:val="en-US" w:eastAsia="zh-CN"/>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val="en-US" w:eastAsia="zh-CN"/>
        </w:rPr>
        <w:t>刘斯然</w:t>
      </w:r>
      <w:r>
        <w:rPr>
          <w:rFonts w:hint="eastAsia" w:ascii="仿宋_GB2312" w:hAnsi="仿宋_GB2312" w:eastAsia="仿宋_GB2312" w:cs="仿宋_GB2312"/>
          <w:sz w:val="32"/>
          <w:szCs w:val="32"/>
          <w:highlight w:val="none"/>
        </w:rPr>
        <w:t xml:space="preserve">               联系电话：</w:t>
      </w:r>
      <w:r>
        <w:rPr>
          <w:rFonts w:hint="eastAsia" w:ascii="仿宋_GB2312" w:hAnsi="仿宋_GB2312" w:eastAsia="仿宋_GB2312" w:cs="仿宋_GB2312"/>
          <w:sz w:val="32"/>
          <w:szCs w:val="32"/>
          <w:highlight w:val="none"/>
          <w:lang w:val="en-US" w:eastAsia="zh-CN"/>
        </w:rPr>
        <w:t>0471-4161008</w:t>
      </w:r>
    </w:p>
    <w:p w14:paraId="364E4800">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sz w:val="36"/>
          <w:szCs w:val="36"/>
          <w:highlight w:val="none"/>
        </w:rPr>
      </w:pPr>
      <w:bookmarkStart w:id="4" w:name="_Toc2232"/>
      <w:r>
        <w:rPr>
          <w:rFonts w:hint="eastAsia" w:ascii="方正小标宋_GBK" w:hAnsi="方正小标宋_GBK" w:eastAsia="方正小标宋_GBK" w:cs="方正小标宋_GBK"/>
          <w:b w:val="0"/>
          <w:bCs w:val="0"/>
          <w:sz w:val="36"/>
          <w:szCs w:val="36"/>
          <w:highlight w:val="none"/>
        </w:rPr>
        <w:t xml:space="preserve">第五部分  </w:t>
      </w:r>
      <w:r>
        <w:rPr>
          <w:rFonts w:hint="eastAsia" w:ascii="方正小标宋_GBK" w:hAnsi="方正小标宋_GBK" w:eastAsia="方正小标宋_GBK" w:cs="方正小标宋_GBK"/>
          <w:b w:val="0"/>
          <w:bCs w:val="0"/>
          <w:sz w:val="36"/>
          <w:szCs w:val="36"/>
          <w:highlight w:val="none"/>
          <w:lang w:val="en-US" w:eastAsia="zh-CN"/>
        </w:rPr>
        <w:t>2025</w:t>
      </w:r>
      <w:r>
        <w:rPr>
          <w:rFonts w:hint="eastAsia" w:ascii="方正小标宋_GBK" w:hAnsi="方正小标宋_GBK" w:eastAsia="方正小标宋_GBK" w:cs="方正小标宋_GBK"/>
          <w:b w:val="0"/>
          <w:bCs w:val="0"/>
          <w:sz w:val="36"/>
          <w:szCs w:val="36"/>
          <w:highlight w:val="none"/>
        </w:rPr>
        <w:t>年度</w:t>
      </w:r>
      <w:r>
        <w:rPr>
          <w:rFonts w:hint="eastAsia" w:ascii="方正小标宋_GBK" w:hAnsi="方正小标宋_GBK" w:eastAsia="方正小标宋_GBK" w:cs="方正小标宋_GBK"/>
          <w:b w:val="0"/>
          <w:bCs w:val="0"/>
          <w:sz w:val="36"/>
          <w:szCs w:val="36"/>
          <w:highlight w:val="none"/>
          <w:lang w:val="en-US" w:eastAsia="zh-CN"/>
        </w:rPr>
        <w:t>内蒙古自治区中蒙医药研究院</w:t>
      </w:r>
      <w:r>
        <w:rPr>
          <w:rFonts w:hint="eastAsia" w:ascii="方正小标宋_GBK" w:hAnsi="方正小标宋_GBK" w:eastAsia="方正小标宋_GBK" w:cs="方正小标宋_GBK"/>
          <w:b w:val="0"/>
          <w:bCs w:val="0"/>
          <w:sz w:val="36"/>
          <w:szCs w:val="36"/>
          <w:highlight w:val="none"/>
        </w:rPr>
        <w:t>预算表</w:t>
      </w:r>
      <w:bookmarkEnd w:id="4"/>
    </w:p>
    <w:p w14:paraId="175D55F0">
      <w:pPr>
        <w:pStyle w:val="8"/>
        <w:spacing w:after="0" w:line="600" w:lineRule="exact"/>
        <w:rPr>
          <w:rFonts w:hint="eastAsia" w:ascii="Times New Roman" w:hAnsi="Times New Roman" w:eastAsia="仿宋_GB2312" w:cs="仿宋"/>
          <w:sz w:val="32"/>
          <w:szCs w:val="32"/>
          <w:highlight w:val="none"/>
        </w:rPr>
      </w:pPr>
    </w:p>
    <w:p w14:paraId="4D94B18C">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收支总表</w:t>
      </w:r>
    </w:p>
    <w:p w14:paraId="348618FF">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收入总表</w:t>
      </w:r>
    </w:p>
    <w:p w14:paraId="27DD4030">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支出总表</w:t>
      </w:r>
    </w:p>
    <w:p w14:paraId="6AF5321A">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财政拨款收支总表</w:t>
      </w:r>
    </w:p>
    <w:p w14:paraId="43182F49">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一般公共预算支出表</w:t>
      </w:r>
    </w:p>
    <w:p w14:paraId="17A781C7">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一般公共预算基本支出表</w:t>
      </w:r>
    </w:p>
    <w:p w14:paraId="5DC9C4EE">
      <w:pPr>
        <w:pStyle w:val="8"/>
        <w:numPr>
          <w:ilvl w:val="0"/>
          <w:numId w:val="5"/>
        </w:numPr>
        <w:spacing w:after="0" w:line="600" w:lineRule="exact"/>
        <w:ind w:left="0" w:leftChars="0" w:firstLine="607" w:firstLineChars="225"/>
        <w:rPr>
          <w:rFonts w:hint="eastAsia" w:ascii="黑体" w:hAnsi="黑体" w:eastAsia="黑体" w:cs="黑体"/>
          <w:b w:val="0"/>
          <w:bCs w:val="0"/>
          <w:sz w:val="32"/>
          <w:szCs w:val="32"/>
          <w:highlight w:val="none"/>
        </w:rPr>
      </w:pPr>
      <w:r>
        <w:rPr>
          <w:rFonts w:hint="eastAsia" w:ascii="黑体" w:hAnsi="黑体" w:eastAsia="黑体" w:cs="黑体"/>
          <w:b w:val="0"/>
          <w:bCs w:val="0"/>
          <w:spacing w:val="-17"/>
          <w:w w:val="95"/>
          <w:sz w:val="32"/>
          <w:szCs w:val="32"/>
          <w:highlight w:val="none"/>
        </w:rPr>
        <w:t>一般公共预算</w:t>
      </w:r>
      <w:r>
        <w:rPr>
          <w:rFonts w:hint="eastAsia" w:ascii="黑体" w:hAnsi="黑体" w:eastAsia="黑体" w:cs="黑体"/>
          <w:b w:val="0"/>
          <w:bCs w:val="0"/>
          <w:spacing w:val="-8"/>
          <w:w w:val="95"/>
          <w:sz w:val="32"/>
          <w:szCs w:val="32"/>
          <w:highlight w:val="none"/>
        </w:rPr>
        <w:t>“</w:t>
      </w:r>
      <w:r>
        <w:rPr>
          <w:rFonts w:hint="eastAsia" w:ascii="黑体" w:hAnsi="黑体" w:eastAsia="黑体" w:cs="黑体"/>
          <w:b w:val="0"/>
          <w:bCs w:val="0"/>
          <w:spacing w:val="-15"/>
          <w:w w:val="95"/>
          <w:sz w:val="32"/>
          <w:szCs w:val="32"/>
          <w:highlight w:val="none"/>
        </w:rPr>
        <w:t>三公</w:t>
      </w:r>
      <w:r>
        <w:rPr>
          <w:rFonts w:hint="eastAsia" w:ascii="黑体" w:hAnsi="黑体" w:eastAsia="黑体" w:cs="黑体"/>
          <w:b w:val="0"/>
          <w:bCs w:val="0"/>
          <w:spacing w:val="-10"/>
          <w:w w:val="95"/>
          <w:sz w:val="32"/>
          <w:szCs w:val="32"/>
          <w:highlight w:val="none"/>
        </w:rPr>
        <w:t>”</w:t>
      </w:r>
      <w:r>
        <w:rPr>
          <w:rFonts w:hint="eastAsia" w:ascii="黑体" w:hAnsi="黑体" w:eastAsia="黑体" w:cs="黑体"/>
          <w:b w:val="0"/>
          <w:bCs w:val="0"/>
          <w:spacing w:val="-16"/>
          <w:w w:val="95"/>
          <w:sz w:val="32"/>
          <w:szCs w:val="32"/>
          <w:highlight w:val="none"/>
        </w:rPr>
        <w:t>经费支出表</w:t>
      </w:r>
    </w:p>
    <w:p w14:paraId="5723AF02">
      <w:pPr>
        <w:pStyle w:val="8"/>
        <w:numPr>
          <w:ilvl w:val="0"/>
          <w:numId w:val="5"/>
        </w:numPr>
        <w:spacing w:after="0" w:line="600" w:lineRule="exact"/>
        <w:ind w:left="0" w:leftChars="0" w:firstLine="639" w:firstLineChars="235"/>
        <w:rPr>
          <w:rFonts w:hint="eastAsia" w:ascii="黑体" w:hAnsi="黑体" w:eastAsia="黑体" w:cs="黑体"/>
          <w:b w:val="0"/>
          <w:bCs w:val="0"/>
          <w:sz w:val="32"/>
          <w:szCs w:val="32"/>
          <w:highlight w:val="none"/>
        </w:rPr>
      </w:pPr>
      <w:r>
        <w:rPr>
          <w:rFonts w:hint="eastAsia" w:ascii="黑体" w:hAnsi="黑体" w:eastAsia="黑体" w:cs="黑体"/>
          <w:b w:val="0"/>
          <w:bCs w:val="0"/>
          <w:spacing w:val="-16"/>
          <w:w w:val="95"/>
          <w:sz w:val="32"/>
          <w:szCs w:val="32"/>
          <w:highlight w:val="none"/>
        </w:rPr>
        <w:t>政府性基金预算支出表</w:t>
      </w:r>
    </w:p>
    <w:p w14:paraId="63B5E255">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国有资本经营预算支出表</w:t>
      </w:r>
    </w:p>
    <w:p w14:paraId="2D9164B2">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项目支出表</w:t>
      </w:r>
    </w:p>
    <w:p w14:paraId="2882FB28">
      <w:pPr>
        <w:pStyle w:val="8"/>
        <w:numPr>
          <w:ilvl w:val="0"/>
          <w:numId w:val="5"/>
        </w:numPr>
        <w:spacing w:after="0" w:line="600" w:lineRule="exact"/>
        <w:ind w:firstLine="640" w:firstLineChars="20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项目绩效目标表</w:t>
      </w:r>
    </w:p>
    <w:p w14:paraId="17FFFC61">
      <w:pPr>
        <w:pStyle w:val="8"/>
        <w:numPr>
          <w:ilvl w:val="0"/>
          <w:numId w:val="5"/>
        </w:numPr>
        <w:spacing w:after="0" w:line="600" w:lineRule="exact"/>
        <w:ind w:firstLine="608" w:firstLineChars="200"/>
        <w:rPr>
          <w:rFonts w:hint="eastAsia" w:ascii="黑体" w:hAnsi="黑体" w:eastAsia="黑体" w:cs="黑体"/>
          <w:b w:val="0"/>
          <w:bCs w:val="0"/>
          <w:sz w:val="32"/>
          <w:szCs w:val="32"/>
          <w:highlight w:val="none"/>
        </w:rPr>
      </w:pPr>
      <w:r>
        <w:rPr>
          <w:rFonts w:hint="eastAsia" w:ascii="黑体" w:hAnsi="黑体" w:eastAsia="黑体" w:cs="黑体"/>
          <w:b w:val="0"/>
          <w:bCs w:val="0"/>
          <w:w w:val="95"/>
          <w:sz w:val="32"/>
          <w:szCs w:val="32"/>
          <w:highlight w:val="none"/>
        </w:rPr>
        <w:t>政府采购预算表</w:t>
      </w:r>
    </w:p>
    <w:p w14:paraId="0758460D">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960" w:firstLineChars="300"/>
        <w:jc w:val="left"/>
        <w:textAlignment w:val="auto"/>
        <w:rPr>
          <w:rFonts w:hint="eastAsia" w:ascii="仿宋_GB2312" w:hAnsi="仿宋_GB2312" w:eastAsia="仿宋_GB2312" w:cs="仿宋_GB2312"/>
          <w:sz w:val="32"/>
          <w:szCs w:val="32"/>
          <w:lang w:val="en-US" w:eastAsia="zh-CN"/>
        </w:rPr>
      </w:pPr>
    </w:p>
    <w:p w14:paraId="1C994AD2">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960" w:firstLineChars="300"/>
        <w:jc w:val="left"/>
        <w:textAlignment w:val="auto"/>
        <w:rPr>
          <w:rFonts w:hint="eastAsia" w:ascii="仿宋_GB2312" w:hAnsi="仿宋_GB2312" w:eastAsia="仿宋_GB2312" w:cs="仿宋_GB2312"/>
          <w:sz w:val="32"/>
          <w:szCs w:val="32"/>
          <w:lang w:val="en-US" w:eastAsia="zh-CN"/>
        </w:rPr>
      </w:pPr>
    </w:p>
    <w:p w14:paraId="239C14B4">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960" w:firstLineChars="3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备注：1.预算公开表见附件</w:t>
      </w:r>
    </w:p>
    <w:p w14:paraId="72CC9B10">
      <w:pPr>
        <w:keepNext w:val="0"/>
        <w:keepLines w:val="0"/>
        <w:pageBreakBefore w:val="0"/>
        <w:numPr>
          <w:ilvl w:val="0"/>
          <w:numId w:val="0"/>
        </w:numPr>
        <w:kinsoku/>
        <w:wordWrap/>
        <w:overflowPunct/>
        <w:topLinePunct w:val="0"/>
        <w:autoSpaceDE/>
        <w:autoSpaceDN/>
        <w:bidi w:val="0"/>
        <w:adjustRightInd/>
        <w:snapToGrid/>
        <w:spacing w:line="560" w:lineRule="exact"/>
        <w:ind w:left="1890" w:leftChars="900" w:firstLine="0" w:firstLineChars="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2.按预算公开编制要求，预算公开报告及公开表的计数单位为万元，而2024年预算编制是以元为计数单位，因此小数点后第二位存在四舍五入的差异。</w:t>
      </w:r>
    </w:p>
    <w:p w14:paraId="5BA4B276">
      <w:pPr>
        <w:pStyle w:val="8"/>
        <w:numPr>
          <w:ilvl w:val="0"/>
          <w:numId w:val="0"/>
        </w:numPr>
        <w:spacing w:after="0" w:line="600" w:lineRule="exact"/>
        <w:rPr>
          <w:rFonts w:hint="eastAsia" w:ascii="黑体" w:hAnsi="黑体" w:eastAsia="黑体" w:cs="黑体"/>
          <w:b w:val="0"/>
          <w:bCs w:val="0"/>
          <w:sz w:val="32"/>
          <w:szCs w:val="32"/>
          <w:highlight w:val="none"/>
        </w:rPr>
      </w:pPr>
    </w:p>
    <w:p w14:paraId="45AF08E4">
      <w:pPr>
        <w:pStyle w:val="18"/>
        <w:ind w:left="0" w:leftChars="0" w:firstLine="0"/>
        <w:rPr>
          <w:rFonts w:hint="default"/>
          <w:highlight w:val="none"/>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665CD94-777F-4D92-B039-9FFB28BB01D4}"/>
  </w:font>
  <w:font w:name="黑体">
    <w:panose1 w:val="02010609060101010101"/>
    <w:charset w:val="86"/>
    <w:family w:val="auto"/>
    <w:pitch w:val="default"/>
    <w:sig w:usb0="800002BF" w:usb1="38CF7CFA" w:usb2="00000016" w:usb3="00000000" w:csb0="00040001" w:csb1="00000000"/>
    <w:embedRegular r:id="rId2" w:fontKey="{FD90F53F-710F-40CA-B82E-064C0B0F7E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05DC9638-14B6-4B34-8855-66471B9C57EC}"/>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002BE1A0-6E7C-428D-AC6D-B01FC4E15F48}"/>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
    <w:altName w:val="Segoe Print"/>
    <w:panose1 w:val="020B0604020202030204"/>
    <w:charset w:val="00"/>
    <w:family w:val="swiss"/>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_GBK">
    <w:panose1 w:val="03000509000000000000"/>
    <w:charset w:val="86"/>
    <w:family w:val="auto"/>
    <w:pitch w:val="default"/>
    <w:sig w:usb0="00000001" w:usb1="080E0000" w:usb2="00000000" w:usb3="00000000" w:csb0="00040000" w:csb1="00000000"/>
    <w:embedRegular r:id="rId5" w:fontKey="{4DCE806B-AF49-4532-AEAA-276F6859E5EE}"/>
  </w:font>
  <w:font w:name="仿宋">
    <w:panose1 w:val="02010609060101010101"/>
    <w:charset w:val="86"/>
    <w:family w:val="modern"/>
    <w:pitch w:val="default"/>
    <w:sig w:usb0="800002BF" w:usb1="38CF7CFA" w:usb2="00000016" w:usb3="00000000" w:csb0="00040001" w:csb1="00000000"/>
    <w:embedRegular r:id="rId6" w:fontKey="{1551788F-6F99-4E33-A2B1-8F17C6DE7644}"/>
  </w:font>
  <w:font w:name="方正小标宋简体">
    <w:panose1 w:val="02000000000000000000"/>
    <w:charset w:val="86"/>
    <w:family w:val="auto"/>
    <w:pitch w:val="default"/>
    <w:sig w:usb0="00000001" w:usb1="08000000" w:usb2="00000000" w:usb3="00000000" w:csb0="00040000" w:csb1="00000000"/>
    <w:embedRegular r:id="rId7" w:fontKey="{3C3EE631-3368-40BE-901F-01F8A166E409}"/>
  </w:font>
  <w:font w:name="楷体_GB2312">
    <w:panose1 w:val="02010609030101010101"/>
    <w:charset w:val="86"/>
    <w:family w:val="modern"/>
    <w:pitch w:val="default"/>
    <w:sig w:usb0="00000001" w:usb1="080E0000" w:usb2="00000000" w:usb3="00000000" w:csb0="00040000" w:csb1="00000000"/>
    <w:embedRegular r:id="rId8" w:fontKey="{D3F3BA75-8935-4F04-9F05-C76F821941BD}"/>
  </w:font>
  <w:font w:name="楷体">
    <w:panose1 w:val="02010609060101010101"/>
    <w:charset w:val="86"/>
    <w:family w:val="modern"/>
    <w:pitch w:val="default"/>
    <w:sig w:usb0="800002BF" w:usb1="38CF7CFA" w:usb2="00000016" w:usb3="00000000" w:csb0="00040001" w:csb1="00000000"/>
    <w:embedRegular r:id="rId9" w:fontKey="{C4446B9D-2053-489A-8838-4138D6C66F5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CB3C8">
    <w:pPr>
      <w:pStyle w:val="12"/>
      <w:jc w:val="center"/>
    </w:pPr>
    <w:r>
      <mc:AlternateContent>
        <mc:Choice Requires="wps">
          <w:drawing>
            <wp:anchor distT="0" distB="0" distL="114300" distR="114300" simplePos="0" relativeHeight="251661312"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520A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1312;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20E520A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42C432C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BDED2">
    <w:pPr>
      <w:pStyle w:val="1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93A1A">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0288;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14:paraId="01A93A1A">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14:paraId="70D6F4B0">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50176">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B4D387"/>
    <w:multiLevelType w:val="singleLevel"/>
    <w:tmpl w:val="C3B4D387"/>
    <w:lvl w:ilvl="0" w:tentative="0">
      <w:start w:val="1"/>
      <w:numFmt w:val="decimal"/>
      <w:suff w:val="space"/>
      <w:lvlText w:val="%1."/>
      <w:lvlJc w:val="left"/>
    </w:lvl>
  </w:abstractNum>
  <w:abstractNum w:abstractNumId="1">
    <w:nsid w:val="CDC51BFA"/>
    <w:multiLevelType w:val="singleLevel"/>
    <w:tmpl w:val="CDC51BFA"/>
    <w:lvl w:ilvl="0" w:tentative="0">
      <w:start w:val="1"/>
      <w:numFmt w:val="chineseCounting"/>
      <w:suff w:val="nothing"/>
      <w:lvlText w:val="%1、"/>
      <w:lvlJc w:val="left"/>
      <w:rPr>
        <w:rFonts w:hint="eastAsia"/>
      </w:rPr>
    </w:lvl>
  </w:abstractNum>
  <w:abstractNum w:abstractNumId="2">
    <w:nsid w:val="E406911A"/>
    <w:multiLevelType w:val="singleLevel"/>
    <w:tmpl w:val="E406911A"/>
    <w:lvl w:ilvl="0" w:tentative="0">
      <w:start w:val="1"/>
      <w:numFmt w:val="decimal"/>
      <w:suff w:val="space"/>
      <w:lvlText w:val="%1."/>
      <w:lvlJc w:val="left"/>
    </w:lvl>
  </w:abstractNum>
  <w:abstractNum w:abstractNumId="3">
    <w:nsid w:val="0D519061"/>
    <w:multiLevelType w:val="singleLevel"/>
    <w:tmpl w:val="0D519061"/>
    <w:lvl w:ilvl="0" w:tentative="0">
      <w:start w:val="1"/>
      <w:numFmt w:val="decimal"/>
      <w:suff w:val="space"/>
      <w:lvlText w:val="%1."/>
      <w:lvlJc w:val="left"/>
    </w:lvl>
  </w:abstractNum>
  <w:abstractNum w:abstractNumId="4">
    <w:nsid w:val="36A8F826"/>
    <w:multiLevelType w:val="singleLevel"/>
    <w:tmpl w:val="36A8F826"/>
    <w:lvl w:ilvl="0" w:tentative="0">
      <w:start w:val="1"/>
      <w:numFmt w:val="decimal"/>
      <w:suff w:val="space"/>
      <w:lvlText w:val="%1."/>
      <w:lvlJc w:val="left"/>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28265A2"/>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0C0DE8"/>
    <w:rsid w:val="08316975"/>
    <w:rsid w:val="086329D2"/>
    <w:rsid w:val="089D7C92"/>
    <w:rsid w:val="09C92DD3"/>
    <w:rsid w:val="09CF6E4B"/>
    <w:rsid w:val="0AB4609E"/>
    <w:rsid w:val="0ADE415D"/>
    <w:rsid w:val="0BD554C2"/>
    <w:rsid w:val="0C63073D"/>
    <w:rsid w:val="0C7318E1"/>
    <w:rsid w:val="0C901A7D"/>
    <w:rsid w:val="0CCF6888"/>
    <w:rsid w:val="0D0C188A"/>
    <w:rsid w:val="0DD71E98"/>
    <w:rsid w:val="0E43752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5981F0D"/>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0F6042F"/>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8A6187"/>
    <w:rsid w:val="2D945258"/>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4607F3B"/>
    <w:rsid w:val="3508551A"/>
    <w:rsid w:val="359C0F7A"/>
    <w:rsid w:val="35E113E3"/>
    <w:rsid w:val="370B120F"/>
    <w:rsid w:val="37776170"/>
    <w:rsid w:val="37781747"/>
    <w:rsid w:val="37847CCD"/>
    <w:rsid w:val="378B37C3"/>
    <w:rsid w:val="37CD2E49"/>
    <w:rsid w:val="381C1DAF"/>
    <w:rsid w:val="382B35B4"/>
    <w:rsid w:val="3941563D"/>
    <w:rsid w:val="398268AC"/>
    <w:rsid w:val="3AE332B3"/>
    <w:rsid w:val="3B071D45"/>
    <w:rsid w:val="3BB54959"/>
    <w:rsid w:val="3C8C247C"/>
    <w:rsid w:val="3CF72C6B"/>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1B0336"/>
    <w:rsid w:val="56C113D0"/>
    <w:rsid w:val="56CB143B"/>
    <w:rsid w:val="57E05BE1"/>
    <w:rsid w:val="58346A24"/>
    <w:rsid w:val="58F72073"/>
    <w:rsid w:val="59464DA9"/>
    <w:rsid w:val="59654F1B"/>
    <w:rsid w:val="59F82547"/>
    <w:rsid w:val="5A8E6B50"/>
    <w:rsid w:val="5B526E3B"/>
    <w:rsid w:val="5CD03307"/>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28A3F58"/>
    <w:rsid w:val="635001EF"/>
    <w:rsid w:val="635307EE"/>
    <w:rsid w:val="637048DB"/>
    <w:rsid w:val="63D0272B"/>
    <w:rsid w:val="64834717"/>
    <w:rsid w:val="64AA146F"/>
    <w:rsid w:val="64F629E2"/>
    <w:rsid w:val="650B1EAB"/>
    <w:rsid w:val="65335497"/>
    <w:rsid w:val="65431800"/>
    <w:rsid w:val="659956F1"/>
    <w:rsid w:val="65D76172"/>
    <w:rsid w:val="66571353"/>
    <w:rsid w:val="66C77325"/>
    <w:rsid w:val="66CE3288"/>
    <w:rsid w:val="678673E4"/>
    <w:rsid w:val="68931D4F"/>
    <w:rsid w:val="68996CA3"/>
    <w:rsid w:val="68C6406F"/>
    <w:rsid w:val="6A1638AD"/>
    <w:rsid w:val="6A3944D6"/>
    <w:rsid w:val="6A411797"/>
    <w:rsid w:val="6B105217"/>
    <w:rsid w:val="6B131038"/>
    <w:rsid w:val="6B4551DF"/>
    <w:rsid w:val="6B9E2823"/>
    <w:rsid w:val="6BC935EB"/>
    <w:rsid w:val="6C1D59BA"/>
    <w:rsid w:val="6C992C34"/>
    <w:rsid w:val="6CA95923"/>
    <w:rsid w:val="6CCF5389"/>
    <w:rsid w:val="6CDF45CD"/>
    <w:rsid w:val="6D7418A4"/>
    <w:rsid w:val="6D756958"/>
    <w:rsid w:val="6E3B0A20"/>
    <w:rsid w:val="70227EC6"/>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3300B"/>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B2F3497"/>
    <w:rsid w:val="7CCC1495"/>
    <w:rsid w:val="7D07233B"/>
    <w:rsid w:val="7D1B6488"/>
    <w:rsid w:val="7D40391F"/>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1"/>
    <w:basedOn w:val="1"/>
    <w:next w:val="1"/>
    <w:qFormat/>
    <w:uiPriority w:val="1"/>
    <w:pPr>
      <w:keepNext/>
      <w:keepLines/>
      <w:spacing w:before="340" w:after="330" w:line="576" w:lineRule="auto"/>
      <w:outlineLvl w:val="0"/>
    </w:pPr>
    <w:rPr>
      <w:b/>
      <w:kern w:val="44"/>
      <w:sz w:val="44"/>
    </w:rPr>
  </w:style>
  <w:style w:type="paragraph" w:styleId="3">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4">
    <w:name w:val="heading 3"/>
    <w:basedOn w:val="1"/>
    <w:next w:val="1"/>
    <w:unhideWhenUsed/>
    <w:qFormat/>
    <w:uiPriority w:val="1"/>
    <w:pPr>
      <w:keepNext/>
      <w:keepLines/>
      <w:spacing w:before="260" w:after="260" w:line="413" w:lineRule="auto"/>
      <w:outlineLvl w:val="2"/>
    </w:pPr>
    <w:rPr>
      <w:b/>
      <w:sz w:val="32"/>
    </w:rPr>
  </w:style>
  <w:style w:type="paragraph" w:styleId="5">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spacing w:line="360" w:lineRule="auto"/>
      <w:ind w:firstLine="420" w:firstLineChars="200"/>
      <w:jc w:val="left"/>
    </w:pPr>
    <w:rPr>
      <w:rFonts w:ascii="仿宋_GB2312" w:hAnsi="Arial" w:eastAsia="仿宋_GB2312"/>
      <w:kern w:val="0"/>
      <w:sz w:val="30"/>
      <w:szCs w:val="30"/>
    </w:rPr>
  </w:style>
  <w:style w:type="paragraph" w:styleId="8">
    <w:name w:val="Body Text"/>
    <w:basedOn w:val="1"/>
    <w:link w:val="34"/>
    <w:unhideWhenUsed/>
    <w:qFormat/>
    <w:uiPriority w:val="1"/>
    <w:pPr>
      <w:spacing w:after="120"/>
    </w:pPr>
  </w:style>
  <w:style w:type="paragraph" w:styleId="9">
    <w:name w:val="annotation text"/>
    <w:basedOn w:val="1"/>
    <w:link w:val="26"/>
    <w:unhideWhenUsed/>
    <w:qFormat/>
    <w:uiPriority w:val="99"/>
    <w:pPr>
      <w:jc w:val="left"/>
    </w:pPr>
  </w:style>
  <w:style w:type="paragraph" w:styleId="10">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11">
    <w:name w:val="Balloon Text"/>
    <w:basedOn w:val="1"/>
    <w:link w:val="36"/>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5">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6">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7">
    <w:name w:val="annotation subject"/>
    <w:basedOn w:val="9"/>
    <w:next w:val="9"/>
    <w:link w:val="27"/>
    <w:semiHidden/>
    <w:unhideWhenUsed/>
    <w:qFormat/>
    <w:uiPriority w:val="99"/>
    <w:rPr>
      <w:b/>
      <w:bCs/>
    </w:rPr>
  </w:style>
  <w:style w:type="paragraph" w:styleId="18">
    <w:name w:val="Body Text First Indent 2"/>
    <w:basedOn w:val="10"/>
    <w:qFormat/>
    <w:uiPriority w:val="0"/>
    <w:pPr>
      <w:ind w:firstLine="420"/>
    </w:p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3"/>
    <w:qFormat/>
    <w:uiPriority w:val="99"/>
    <w:rPr>
      <w:sz w:val="18"/>
      <w:szCs w:val="18"/>
    </w:rPr>
  </w:style>
  <w:style w:type="character" w:customStyle="1" w:styleId="25">
    <w:name w:val="页脚 Char"/>
    <w:basedOn w:val="21"/>
    <w:link w:val="12"/>
    <w:qFormat/>
    <w:uiPriority w:val="99"/>
    <w:rPr>
      <w:sz w:val="18"/>
      <w:szCs w:val="18"/>
    </w:rPr>
  </w:style>
  <w:style w:type="character" w:customStyle="1" w:styleId="26">
    <w:name w:val="批注文字 Char"/>
    <w:basedOn w:val="21"/>
    <w:link w:val="9"/>
    <w:qFormat/>
    <w:uiPriority w:val="99"/>
    <w:rPr>
      <w:rFonts w:ascii="Times New Roman" w:hAnsi="Times New Roman" w:eastAsia="Courier New" w:cs="Times New Roman"/>
      <w:szCs w:val="21"/>
    </w:rPr>
  </w:style>
  <w:style w:type="character" w:customStyle="1" w:styleId="27">
    <w:name w:val="批注主题 Char"/>
    <w:basedOn w:val="26"/>
    <w:link w:val="17"/>
    <w:semiHidden/>
    <w:qFormat/>
    <w:uiPriority w:val="99"/>
    <w:rPr>
      <w:rFonts w:ascii="Times New Roman" w:hAnsi="Times New Roman" w:eastAsia="Courier New" w:cs="Times New Roman"/>
      <w:b/>
      <w:bCs/>
      <w:szCs w:val="21"/>
    </w:rPr>
  </w:style>
  <w:style w:type="paragraph" w:customStyle="1" w:styleId="28">
    <w:name w:val="独立格式"/>
    <w:basedOn w:val="15"/>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5"/>
    <w:qFormat/>
    <w:uiPriority w:val="11"/>
    <w:rPr>
      <w:b/>
      <w:bCs/>
      <w:kern w:val="28"/>
      <w:sz w:val="32"/>
      <w:szCs w:val="32"/>
    </w:rPr>
  </w:style>
  <w:style w:type="character" w:customStyle="1" w:styleId="30">
    <w:name w:val="标题 2 Char"/>
    <w:basedOn w:val="21"/>
    <w:link w:val="3"/>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6"/>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8"/>
    <w:semiHidden/>
    <w:qFormat/>
    <w:uiPriority w:val="99"/>
    <w:rPr>
      <w:rFonts w:ascii="Times New Roman" w:hAnsi="Times New Roman" w:eastAsia="Courier New" w:cs="Times New Roman"/>
      <w:szCs w:val="21"/>
    </w:rPr>
  </w:style>
  <w:style w:type="character" w:customStyle="1" w:styleId="35">
    <w:name w:val="标题 4 Char"/>
    <w:basedOn w:val="21"/>
    <w:link w:val="5"/>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1"/>
    <w:semiHidden/>
    <w:qFormat/>
    <w:uiPriority w:val="99"/>
    <w:rPr>
      <w:rFonts w:ascii="Times New Roman" w:hAnsi="Times New Roman" w:eastAsia="Courier New" w:cs="Times New Roman"/>
      <w:kern w:val="2"/>
      <w:sz w:val="18"/>
      <w:szCs w:val="18"/>
    </w:rPr>
  </w:style>
  <w:style w:type="table" w:customStyle="1" w:styleId="37">
    <w:name w:val="Table Normal"/>
    <w:semiHidden/>
    <w:unhideWhenUsed/>
    <w:qFormat/>
    <w:uiPriority w:val="2"/>
    <w:tblPr>
      <w:tblCellMar>
        <w:top w:w="0" w:type="dxa"/>
        <w:left w:w="0" w:type="dxa"/>
        <w:bottom w:w="0" w:type="dxa"/>
        <w:right w:w="0" w:type="dxa"/>
      </w:tblCellMar>
    </w:tblPr>
  </w:style>
  <w:style w:type="paragraph"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1.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b="1">
                <a:latin typeface="+mn-ea"/>
                <a:ea typeface="+mn-ea"/>
              </a:rPr>
              <a:t>收入预算占比情况</a:t>
            </a:r>
            <a:endParaRPr sz="800" b="1">
              <a:latin typeface="+mn-ea"/>
              <a:ea typeface="+mn-ea"/>
            </a:endParaRP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0"/>
            <c:showCatName val="0"/>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一般公共预算收入</c:v>
                </c:pt>
                <c:pt idx="1">
                  <c:v>上年结转结余</c:v>
                </c:pt>
                <c:pt idx="2">
                  <c:v>事业收入</c:v>
                </c:pt>
                <c:pt idx="3">
                  <c:v>事业单位经营收入</c:v>
                </c:pt>
              </c:strCache>
            </c:strRef>
          </c:cat>
          <c:val>
            <c:numRef>
              <c:f>Sheet1!$B$2:$B$5</c:f>
              <c:numCache>
                <c:formatCode>General</c:formatCode>
                <c:ptCount val="4"/>
                <c:pt idx="0">
                  <c:v>1774.3</c:v>
                </c:pt>
                <c:pt idx="1">
                  <c:v>96.59</c:v>
                </c:pt>
                <c:pt idx="2">
                  <c:v>512.56</c:v>
                </c:pt>
                <c:pt idx="3">
                  <c:v>1390.65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extLst>
      <c:ext uri="{0b15fc19-7d7d-44ad-8c2d-2c3a37ce22c3}">
        <chartProps xmlns="https://web.wps.cn/et/2018/main" chartId="{b23aecc3-beda-4be7-bb5a-6b0369852549}"/>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b="1">
                <a:latin typeface="+mn-ea"/>
                <a:ea typeface="+mn-ea"/>
              </a:rPr>
              <a:t>支出预算</a:t>
            </a:r>
            <a:endParaRPr b="1">
              <a:latin typeface="+mn-ea"/>
              <a:ea typeface="+mn-ea"/>
            </a:endParaRPr>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247246414461772"/>
                  <c:y val="0.02446329354164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2836.51</c:v>
                </c:pt>
                <c:pt idx="1">
                  <c:v>937.59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extLst>
      <c:ext uri="{0b15fc19-7d7d-44ad-8c2d-2c3a37ce22c3}">
        <chartProps xmlns="https://web.wps.cn/et/2018/main" chartId="{9d5a103d-5b3f-48fe-acc5-39623da5ec6f}"/>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财政拨款比重图</a:t>
            </a:r>
          </a:p>
        </c:rich>
      </c:tx>
      <c:layout/>
      <c:overlay val="0"/>
      <c:spPr>
        <a:noFill/>
        <a:ln>
          <a:noFill/>
        </a:ln>
        <a:effectLst/>
      </c:spPr>
    </c:title>
    <c:autoTitleDeleted val="0"/>
    <c:plotArea>
      <c:layout/>
      <c:doughnutChart>
        <c:varyColors val="1"/>
        <c:ser>
          <c:idx val="0"/>
          <c:order val="0"/>
          <c:tx>
            <c:strRef>
              <c:f>Sheet1!$B$1</c:f>
              <c:strCache>
                <c:ptCount val="1"/>
                <c:pt idx="0">
                  <c:v>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0.0380526697269872"/>
                  <c:y val="-0.134529147982063"/>
                </c:manualLayout>
              </c:layou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996617540468712"/>
                  <c:y val="-0.0672645739910314"/>
                </c:manualLayout>
              </c:layou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0362406378352259"/>
                  <c:y val="-0.14639936692165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1.6</a:t>
                    </a:r>
                    <a:r>
                      <a:rPr lang="en-US" altLang="zh-CN"/>
                      <a:t>2</a:t>
                    </a:r>
                    <a:r>
                      <a:t>%</a:t>
                    </a:r>
                  </a:p>
                </c:rich>
              </c:tx>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住房保障支出</c:v>
                </c:pt>
                <c:pt idx="3">
                  <c:v>科学技术支出</c:v>
                </c:pt>
              </c:strCache>
            </c:strRef>
          </c:cat>
          <c:val>
            <c:numRef>
              <c:f>Sheet1!$B$2:$B$5</c:f>
              <c:numCache>
                <c:formatCode>General</c:formatCode>
                <c:ptCount val="4"/>
                <c:pt idx="0">
                  <c:v>147</c:v>
                </c:pt>
                <c:pt idx="1">
                  <c:v>3478.17</c:v>
                </c:pt>
                <c:pt idx="2">
                  <c:v>88</c:v>
                </c:pt>
                <c:pt idx="3">
                  <c:v>60.93</c:v>
                </c:pt>
              </c:numCache>
            </c:numRef>
          </c:val>
        </c:ser>
        <c:dLbls>
          <c:showLegendKey val="0"/>
          <c:showVal val="1"/>
          <c:showCatName val="0"/>
          <c:showSerName val="0"/>
          <c:showPercent val="0"/>
          <c:showBubbleSize val="0"/>
          <c:showLeaderLines val="1"/>
        </c:dLbls>
        <c:firstSliceAng val="0"/>
        <c:holeSize val="50"/>
      </c:doughnut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7086848-ea2e-4367-9d51-d51f563eb9f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109">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8436</Words>
  <Characters>9173</Characters>
  <Lines>246</Lines>
  <Paragraphs>69</Paragraphs>
  <TotalTime>35</TotalTime>
  <ScaleCrop>false</ScaleCrop>
  <LinksUpToDate>false</LinksUpToDate>
  <CharactersWithSpaces>9757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2021-11-01T08:43:00Z</dcterms:created>
  <dc:creator>Richard Meng</dc:creator>
  <cp:lastModifiedBy>斯然</cp:lastModifiedBy>
  <cp:lastPrinted>2025-02-12T06:28:00Z</cp:lastPrinted>
  <dcterms:modified xsi:type="dcterms:W3CDTF">2025-11-24T09:42:43Z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14AC257461364974B42387C4C212F815_13</vt:lpwstr>
  </property>
  <property fmtid="{D5CDD505-2E9C-101B-9397-08002B2CF9AE}" pid="4" name="KSOTemplateDocerSaveRecord">
    <vt:lpwstr>eyJoZGlkIjoiMjhkMzBhNTBjOWM4OTJjNDE5NTdiODJhNDMxYjk1MGQiLCJ1c2VySWQiOiI1MjYwNjgzNDMifQ==</vt:lpwstr>
  </property>
</Properties>
</file>