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cs="宋体"/>
          <w:b/>
          <w:color w:val="auto"/>
          <w:sz w:val="52"/>
          <w:szCs w:val="52"/>
          <w:highlight w:val="none"/>
          <w:u w:val="none"/>
        </w:rPr>
      </w:pPr>
    </w:p>
    <w:p>
      <w:pPr>
        <w:jc w:val="center"/>
        <w:rPr>
          <w:rFonts w:eastAsia="黑体" w:cs="宋体"/>
          <w:b/>
          <w:color w:val="auto"/>
          <w:sz w:val="52"/>
          <w:szCs w:val="52"/>
          <w:highlight w:val="none"/>
          <w:u w:val="none"/>
        </w:rPr>
      </w:pPr>
    </w:p>
    <w:p>
      <w:pPr>
        <w:spacing w:line="600" w:lineRule="exact"/>
        <w:jc w:val="left"/>
        <w:rPr>
          <w:rFonts w:ascii="Arial" w:hAnsi="Arial" w:eastAsia="Symbol"/>
          <w:b/>
          <w:bCs/>
          <w:color w:val="auto"/>
          <w:sz w:val="32"/>
          <w:szCs w:val="32"/>
          <w:highlight w:val="none"/>
          <w:u w:val="none"/>
        </w:rPr>
      </w:pPr>
    </w:p>
    <w:p>
      <w:pPr>
        <w:pStyle w:val="18"/>
        <w:rPr>
          <w:rFonts w:hint="default"/>
          <w:color w:val="auto"/>
          <w:highlight w:val="none"/>
          <w:u w:val="none"/>
        </w:rPr>
      </w:pPr>
    </w:p>
    <w:p>
      <w:pPr>
        <w:spacing w:line="600" w:lineRule="exact"/>
        <w:jc w:val="center"/>
        <w:rPr>
          <w:rFonts w:ascii="Arial" w:hAnsi="Arial" w:eastAsia="宋体"/>
          <w:b/>
          <w:bCs/>
          <w:color w:val="auto"/>
          <w:sz w:val="32"/>
          <w:szCs w:val="32"/>
          <w:highlight w:val="none"/>
          <w:u w:val="none"/>
        </w:rPr>
      </w:pPr>
    </w:p>
    <w:p>
      <w:pPr>
        <w:spacing w:line="600" w:lineRule="exact"/>
        <w:jc w:val="center"/>
        <w:rPr>
          <w:rFonts w:hint="eastAsia" w:ascii="方正小标宋简体" w:hAnsi="方正小标宋简体" w:eastAsia="方正小标宋简体" w:cs="方正小标宋简体"/>
          <w:color w:val="auto"/>
          <w:sz w:val="44"/>
          <w:szCs w:val="44"/>
          <w:highlight w:val="none"/>
          <w:u w:val="none"/>
          <w:lang w:val="en-US" w:eastAsia="zh-CN"/>
        </w:rPr>
      </w:pPr>
    </w:p>
    <w:p>
      <w:pPr>
        <w:keepNext w:val="0"/>
        <w:keepLines w:val="0"/>
        <w:pageBreakBefore w:val="0"/>
        <w:widowControl w:val="0"/>
        <w:kinsoku/>
        <w:wordWrap/>
        <w:overflowPunct/>
        <w:topLinePunct w:val="0"/>
        <w:autoSpaceDE/>
        <w:autoSpaceDN/>
        <w:bidi w:val="0"/>
        <w:spacing w:line="480" w:lineRule="auto"/>
        <w:jc w:val="center"/>
        <w:textAlignment w:val="auto"/>
        <w:rPr>
          <w:rFonts w:hint="default" w:ascii="方正小标宋简体" w:hAnsi="方正小标宋简体" w:eastAsia="方正小标宋简体" w:cs="方正小标宋简体"/>
          <w:b/>
          <w:bCs/>
          <w:color w:val="auto"/>
          <w:sz w:val="44"/>
          <w:szCs w:val="44"/>
          <w:highlight w:val="none"/>
          <w:u w:val="none"/>
          <w:lang w:val="en-US" w:eastAsia="zh-CN"/>
        </w:rPr>
      </w:pPr>
      <w:r>
        <w:rPr>
          <w:rFonts w:hint="eastAsia" w:ascii="方正小标宋简体" w:hAnsi="方正小标宋简体" w:eastAsia="方正小标宋简体" w:cs="方正小标宋简体"/>
          <w:b/>
          <w:bCs/>
          <w:color w:val="auto"/>
          <w:sz w:val="44"/>
          <w:szCs w:val="44"/>
          <w:highlight w:val="none"/>
          <w:u w:val="none"/>
          <w:lang w:val="en-US" w:eastAsia="zh-CN"/>
        </w:rPr>
        <w:t>内蒙古医科大学附属医院</w:t>
      </w:r>
    </w:p>
    <w:p>
      <w:pPr>
        <w:keepNext w:val="0"/>
        <w:keepLines w:val="0"/>
        <w:pageBreakBefore w:val="0"/>
        <w:widowControl w:val="0"/>
        <w:kinsoku/>
        <w:wordWrap/>
        <w:overflowPunct/>
        <w:topLinePunct w:val="0"/>
        <w:autoSpaceDE/>
        <w:autoSpaceDN/>
        <w:bidi w:val="0"/>
        <w:spacing w:line="480" w:lineRule="auto"/>
        <w:jc w:val="center"/>
        <w:textAlignment w:val="auto"/>
        <w:rPr>
          <w:rFonts w:ascii="方正小标宋简体" w:hAnsi="方正小标宋简体" w:eastAsia="方正小标宋简体" w:cs="方正小标宋简体"/>
          <w:color w:val="auto"/>
          <w:sz w:val="44"/>
          <w:szCs w:val="44"/>
          <w:highlight w:val="none"/>
          <w:u w:val="none"/>
        </w:rPr>
      </w:pPr>
      <w:r>
        <w:rPr>
          <w:rFonts w:hint="eastAsia" w:ascii="方正小标宋简体" w:hAnsi="方正小标宋简体" w:eastAsia="方正小标宋简体" w:cs="方正小标宋简体"/>
          <w:color w:val="auto"/>
          <w:sz w:val="44"/>
          <w:szCs w:val="44"/>
          <w:highlight w:val="none"/>
          <w:u w:val="none"/>
          <w:lang w:val="en-US" w:eastAsia="zh-CN"/>
        </w:rPr>
        <w:t>2025</w:t>
      </w:r>
      <w:r>
        <w:rPr>
          <w:rFonts w:hint="eastAsia" w:ascii="方正小标宋简体" w:hAnsi="方正小标宋简体" w:eastAsia="方正小标宋简体" w:cs="方正小标宋简体"/>
          <w:color w:val="auto"/>
          <w:sz w:val="44"/>
          <w:szCs w:val="44"/>
          <w:highlight w:val="none"/>
          <w:u w:val="none"/>
        </w:rPr>
        <w:t>年度</w:t>
      </w:r>
      <w:r>
        <w:rPr>
          <w:rFonts w:hint="eastAsia" w:ascii="方正小标宋简体" w:hAnsi="方正小标宋简体" w:eastAsia="方正小标宋简体" w:cs="方正小标宋简体"/>
          <w:color w:val="auto"/>
          <w:sz w:val="44"/>
          <w:szCs w:val="44"/>
          <w:highlight w:val="none"/>
          <w:u w:val="none"/>
          <w:lang w:val="en-US" w:eastAsia="zh-CN"/>
        </w:rPr>
        <w:t>部门</w:t>
      </w:r>
      <w:r>
        <w:rPr>
          <w:rFonts w:hint="eastAsia" w:ascii="方正小标宋简体" w:hAnsi="方正小标宋简体" w:eastAsia="方正小标宋简体" w:cs="方正小标宋简体"/>
          <w:color w:val="auto"/>
          <w:sz w:val="44"/>
          <w:szCs w:val="44"/>
          <w:highlight w:val="none"/>
          <w:u w:val="none"/>
        </w:rPr>
        <w:t>预算公开</w:t>
      </w:r>
    </w:p>
    <w:p>
      <w:pPr>
        <w:keepNext w:val="0"/>
        <w:keepLines w:val="0"/>
        <w:pageBreakBefore w:val="0"/>
        <w:widowControl w:val="0"/>
        <w:kinsoku/>
        <w:wordWrap/>
        <w:overflowPunct/>
        <w:topLinePunct w:val="0"/>
        <w:autoSpaceDE/>
        <w:autoSpaceDN/>
        <w:bidi w:val="0"/>
        <w:adjustRightInd w:val="0"/>
        <w:snapToGrid w:val="0"/>
        <w:spacing w:line="480" w:lineRule="auto"/>
        <w:ind w:firstLine="640"/>
        <w:textAlignment w:val="auto"/>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adjustRightInd w:val="0"/>
        <w:snapToGrid w:val="0"/>
        <w:spacing w:line="600" w:lineRule="exact"/>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adjustRightInd w:val="0"/>
        <w:snapToGrid w:val="0"/>
        <w:spacing w:line="600" w:lineRule="exact"/>
        <w:ind w:firstLine="640"/>
        <w:rPr>
          <w:rFonts w:ascii="Times New Roman" w:hAnsi="Times New Roman" w:eastAsia="仿宋_GB2312"/>
          <w:color w:val="auto"/>
          <w:sz w:val="32"/>
          <w:szCs w:val="32"/>
          <w:highlight w:val="none"/>
          <w:u w:val="none"/>
        </w:rPr>
      </w:pPr>
    </w:p>
    <w:p>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批复时间： </w:t>
      </w:r>
      <w:r>
        <w:rPr>
          <w:rFonts w:hint="eastAsia" w:ascii="黑体" w:hAnsi="黑体" w:eastAsia="黑体" w:cs="黑体"/>
          <w:color w:val="auto"/>
          <w:sz w:val="32"/>
          <w:szCs w:val="32"/>
          <w:highlight w:val="none"/>
          <w:u w:val="none"/>
          <w:lang w:val="en-US" w:eastAsia="zh-CN"/>
        </w:rPr>
        <w:t xml:space="preserve"> 2025</w:t>
      </w:r>
      <w:r>
        <w:rPr>
          <w:rFonts w:ascii="黑体" w:hAnsi="黑体" w:eastAsia="黑体" w:cs="黑体"/>
          <w:color w:val="auto"/>
          <w:sz w:val="32"/>
          <w:szCs w:val="32"/>
          <w:highlight w:val="none"/>
          <w:u w:val="none"/>
        </w:rPr>
        <w:t xml:space="preserve"> 年 </w:t>
      </w:r>
      <w:r>
        <w:rPr>
          <w:rFonts w:hint="eastAsia" w:ascii="黑体" w:hAnsi="黑体" w:eastAsia="黑体" w:cs="黑体"/>
          <w:color w:val="auto"/>
          <w:sz w:val="32"/>
          <w:szCs w:val="32"/>
          <w:highlight w:val="none"/>
          <w:u w:val="none"/>
          <w:lang w:val="en-US" w:eastAsia="zh-CN"/>
        </w:rPr>
        <w:t>1</w:t>
      </w:r>
      <w:r>
        <w:rPr>
          <w:rFonts w:ascii="黑体" w:hAnsi="黑体" w:eastAsia="黑体" w:cs="黑体"/>
          <w:color w:val="auto"/>
          <w:sz w:val="32"/>
          <w:szCs w:val="32"/>
          <w:highlight w:val="none"/>
          <w:u w:val="none"/>
        </w:rPr>
        <w:t xml:space="preserve"> 月 </w:t>
      </w:r>
      <w:r>
        <w:rPr>
          <w:rFonts w:hint="eastAsia" w:ascii="黑体" w:hAnsi="黑体" w:eastAsia="黑体" w:cs="黑体"/>
          <w:color w:val="auto"/>
          <w:sz w:val="32"/>
          <w:szCs w:val="32"/>
          <w:highlight w:val="none"/>
          <w:u w:val="none"/>
          <w:lang w:val="en-US" w:eastAsia="zh-CN"/>
        </w:rPr>
        <w:t>27</w:t>
      </w:r>
      <w:r>
        <w:rPr>
          <w:rFonts w:ascii="黑体" w:hAnsi="黑体" w:eastAsia="黑体" w:cs="黑体"/>
          <w:color w:val="auto"/>
          <w:sz w:val="32"/>
          <w:szCs w:val="32"/>
          <w:highlight w:val="none"/>
          <w:u w:val="none"/>
        </w:rPr>
        <w:t xml:space="preserve"> 日</w:t>
      </w:r>
    </w:p>
    <w:p>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公开时间： </w:t>
      </w:r>
      <w:r>
        <w:rPr>
          <w:rFonts w:hint="eastAsia" w:ascii="黑体" w:hAnsi="黑体" w:eastAsia="黑体" w:cs="黑体"/>
          <w:color w:val="auto"/>
          <w:sz w:val="32"/>
          <w:szCs w:val="32"/>
          <w:highlight w:val="none"/>
          <w:u w:val="none"/>
          <w:lang w:val="en-US" w:eastAsia="zh-CN"/>
        </w:rPr>
        <w:t xml:space="preserve"> 2025</w:t>
      </w:r>
      <w:r>
        <w:rPr>
          <w:rFonts w:ascii="黑体" w:hAnsi="黑体" w:eastAsia="黑体" w:cs="黑体"/>
          <w:color w:val="auto"/>
          <w:sz w:val="32"/>
          <w:szCs w:val="32"/>
          <w:highlight w:val="none"/>
          <w:u w:val="none"/>
        </w:rPr>
        <w:t xml:space="preserve"> 年 </w:t>
      </w:r>
      <w:r>
        <w:rPr>
          <w:rFonts w:hint="eastAsia" w:ascii="黑体" w:hAnsi="黑体" w:eastAsia="黑体" w:cs="黑体"/>
          <w:color w:val="auto"/>
          <w:sz w:val="32"/>
          <w:szCs w:val="32"/>
          <w:highlight w:val="none"/>
          <w:u w:val="none"/>
          <w:lang w:val="en-US" w:eastAsia="zh-CN"/>
        </w:rPr>
        <w:t>2</w:t>
      </w:r>
      <w:r>
        <w:rPr>
          <w:rFonts w:ascii="黑体" w:hAnsi="黑体" w:eastAsia="黑体" w:cs="黑体"/>
          <w:color w:val="auto"/>
          <w:sz w:val="32"/>
          <w:szCs w:val="32"/>
          <w:highlight w:val="none"/>
          <w:u w:val="none"/>
        </w:rPr>
        <w:t xml:space="preserve"> 月</w:t>
      </w:r>
      <w:r>
        <w:rPr>
          <w:rFonts w:hint="eastAsia" w:ascii="黑体" w:hAnsi="黑体" w:eastAsia="黑体" w:cs="黑体"/>
          <w:color w:val="auto"/>
          <w:sz w:val="32"/>
          <w:szCs w:val="32"/>
          <w:highlight w:val="none"/>
          <w:u w:val="none"/>
          <w:lang w:val="en-US" w:eastAsia="zh-CN"/>
        </w:rPr>
        <w:t xml:space="preserve"> 14 </w:t>
      </w:r>
      <w:r>
        <w:rPr>
          <w:rFonts w:ascii="黑体" w:hAnsi="黑体" w:eastAsia="黑体" w:cs="黑体"/>
          <w:color w:val="auto"/>
          <w:sz w:val="32"/>
          <w:szCs w:val="32"/>
          <w:highlight w:val="none"/>
          <w:u w:val="none"/>
        </w:rPr>
        <w:t>日</w:t>
      </w:r>
    </w:p>
    <w:p>
      <w:pPr>
        <w:pageBreakBefore/>
        <w:tabs>
          <w:tab w:val="left" w:pos="4533"/>
        </w:tabs>
        <w:adjustRightInd w:val="0"/>
        <w:snapToGrid w:val="0"/>
        <w:spacing w:line="600" w:lineRule="exact"/>
        <w:jc w:val="center"/>
        <w:rPr>
          <w:color w:val="auto"/>
          <w:sz w:val="44"/>
          <w:szCs w:val="44"/>
          <w:highlight w:val="none"/>
          <w:u w:val="none"/>
        </w:rPr>
      </w:pPr>
      <w:r>
        <w:rPr>
          <w:color w:val="auto"/>
          <w:sz w:val="44"/>
          <w:szCs w:val="44"/>
          <w:highlight w:val="none"/>
          <w:u w:val="none"/>
        </w:rPr>
        <w:t>目</w:t>
      </w:r>
      <w:r>
        <w:rPr>
          <w:rFonts w:hint="eastAsia" w:eastAsia="宋体"/>
          <w:color w:val="auto"/>
          <w:sz w:val="44"/>
          <w:szCs w:val="44"/>
          <w:highlight w:val="none"/>
          <w:u w:val="none"/>
        </w:rPr>
        <w:t xml:space="preserve">  </w:t>
      </w:r>
      <w:r>
        <w:rPr>
          <w:rFonts w:hint="eastAsia"/>
          <w:color w:val="auto"/>
          <w:sz w:val="44"/>
          <w:szCs w:val="44"/>
          <w:highlight w:val="none"/>
          <w:u w:val="none"/>
        </w:rPr>
        <w:t xml:space="preserve">  </w:t>
      </w:r>
      <w:r>
        <w:rPr>
          <w:color w:val="auto"/>
          <w:sz w:val="44"/>
          <w:szCs w:val="44"/>
          <w:highlight w:val="none"/>
          <w:u w:val="none"/>
        </w:rPr>
        <w:t>录</w:t>
      </w:r>
    </w:p>
    <w:p>
      <w:pPr>
        <w:rPr>
          <w:color w:val="auto"/>
          <w:highlight w:val="none"/>
          <w:u w:val="none"/>
        </w:rPr>
      </w:pPr>
    </w:p>
    <w:p>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第一部分 部门（单位）概况</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一、主要职能、职责</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二、部门（单位）机构设置及预算单位构成情况</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w:t>
      </w:r>
      <w:r>
        <w:rPr>
          <w:rFonts w:hint="eastAsia" w:ascii="仿宋_GB2312" w:hAnsi="仿宋_GB2312" w:eastAsia="仿宋_GB2312" w:cs="仿宋"/>
          <w:color w:val="auto"/>
          <w:sz w:val="32"/>
          <w:szCs w:val="32"/>
          <w:highlight w:val="none"/>
          <w:u w:val="none"/>
          <w:lang w:val="en-US" w:eastAsia="zh-CN"/>
        </w:rPr>
        <w:t>2025</w:t>
      </w:r>
      <w:r>
        <w:rPr>
          <w:rFonts w:hint="eastAsia" w:ascii="Times New Roman" w:hAnsi="Times New Roman" w:eastAsia="仿宋_GB2312" w:cs="仿宋"/>
          <w:color w:val="auto"/>
          <w:sz w:val="32"/>
          <w:szCs w:val="32"/>
          <w:highlight w:val="none"/>
          <w:u w:val="none"/>
        </w:rPr>
        <w:t>年度部门（单位）主要工作任务及目标</w:t>
      </w:r>
    </w:p>
    <w:p>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第二部分 </w:t>
      </w:r>
      <w:r>
        <w:rPr>
          <w:rFonts w:hint="eastAsia" w:ascii="黑体" w:hAnsi="黑体" w:eastAsia="黑体" w:cs="黑体"/>
          <w:color w:val="auto"/>
          <w:sz w:val="32"/>
          <w:szCs w:val="32"/>
          <w:highlight w:val="none"/>
          <w:u w:val="none"/>
          <w:lang w:val="en-US" w:eastAsia="zh-CN"/>
        </w:rPr>
        <w:t>2025</w:t>
      </w:r>
      <w:r>
        <w:rPr>
          <w:rFonts w:hint="eastAsia" w:ascii="黑体" w:hAnsi="黑体" w:eastAsia="黑体" w:cs="黑体"/>
          <w:color w:val="auto"/>
          <w:sz w:val="32"/>
          <w:szCs w:val="32"/>
          <w:highlight w:val="none"/>
          <w:u w:val="none"/>
        </w:rPr>
        <w:t>年度部门（单位）预算情况说明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一、收支预算总体情况说明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四、财政拨款收支预算总体情况说明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五、一般公共预算支出预算情况说明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六、一般公共预算基本支出预算情况说明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七、一般公共预算“三公”经费支出预算情况说明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八、政府性基金预算支出预算情况说明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w:t>
      </w:r>
      <w:r>
        <w:rPr>
          <w:rFonts w:hint="eastAsia" w:ascii="Times New Roman" w:hAnsi="Times New Roman" w:eastAsia="仿宋_GB2312" w:cs="仿宋"/>
          <w:color w:val="auto"/>
          <w:sz w:val="32"/>
          <w:szCs w:val="32"/>
          <w:highlight w:val="none"/>
          <w:u w:val="none"/>
          <w:lang w:val="en-US" w:eastAsia="zh-CN"/>
        </w:rPr>
        <w:t>机构</w:t>
      </w:r>
      <w:r>
        <w:rPr>
          <w:rFonts w:hint="eastAsia" w:ascii="Times New Roman" w:hAnsi="Times New Roman" w:eastAsia="仿宋_GB2312" w:cs="仿宋"/>
          <w:color w:val="auto"/>
          <w:sz w:val="32"/>
          <w:szCs w:val="32"/>
          <w:highlight w:val="none"/>
          <w:u w:val="none"/>
        </w:rPr>
        <w:t>运行经费支出预算情况说明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十二、政府采购支出预算情况说明</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十三、国有资产占用情况说明</w:t>
      </w:r>
    </w:p>
    <w:p>
      <w:pPr>
        <w:widowControl/>
        <w:spacing w:line="600" w:lineRule="exact"/>
        <w:jc w:val="lef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 xml:space="preserve">十四、项目绩效目标情况说明 </w:t>
      </w:r>
    </w:p>
    <w:p>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第三部分 名词解释</w:t>
      </w:r>
    </w:p>
    <w:p>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第四部分 预算公开联系方式及信息反馈渠道</w:t>
      </w:r>
    </w:p>
    <w:p>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第五部分 </w:t>
      </w:r>
      <w:r>
        <w:rPr>
          <w:rFonts w:hint="eastAsia" w:ascii="黑体" w:hAnsi="黑体" w:eastAsia="黑体" w:cs="黑体"/>
          <w:color w:val="auto"/>
          <w:sz w:val="32"/>
          <w:szCs w:val="32"/>
          <w:highlight w:val="none"/>
          <w:u w:val="none"/>
          <w:lang w:val="en-US" w:eastAsia="zh-CN"/>
        </w:rPr>
        <w:t>2025</w:t>
      </w:r>
      <w:r>
        <w:rPr>
          <w:rFonts w:hint="eastAsia" w:ascii="黑体" w:hAnsi="黑体" w:eastAsia="黑体" w:cs="黑体"/>
          <w:color w:val="auto"/>
          <w:sz w:val="32"/>
          <w:szCs w:val="32"/>
          <w:highlight w:val="none"/>
          <w:u w:val="none"/>
        </w:rPr>
        <w:t>年度部门（单位）预算表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一、收支总表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二、收入总表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三、支出总表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四、财政拨款收支总表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五、一般公共预算支出表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六、一般公共预算基本支出表</w:t>
      </w:r>
    </w:p>
    <w:p>
      <w:pPr>
        <w:pStyle w:val="8"/>
        <w:spacing w:after="0" w:line="600" w:lineRule="exact"/>
        <w:rPr>
          <w:rFonts w:ascii="Times New Roman" w:hAnsi="Times New Roman" w:eastAsia="仿宋_GB2312" w:cs="仿宋"/>
          <w:color w:val="auto"/>
          <w:spacing w:val="-16"/>
          <w:w w:val="95"/>
          <w:sz w:val="32"/>
          <w:szCs w:val="32"/>
          <w:highlight w:val="none"/>
          <w:u w:val="none"/>
        </w:rPr>
      </w:pPr>
      <w:r>
        <w:rPr>
          <w:rFonts w:hint="eastAsia" w:ascii="Times New Roman" w:hAnsi="Times New Roman" w:eastAsia="仿宋_GB2312" w:cs="仿宋"/>
          <w:color w:val="auto"/>
          <w:spacing w:val="-17"/>
          <w:w w:val="95"/>
          <w:sz w:val="32"/>
          <w:szCs w:val="32"/>
          <w:highlight w:val="none"/>
          <w:u w:val="none"/>
        </w:rPr>
        <w:t>七、一般公共预算</w:t>
      </w:r>
      <w:r>
        <w:rPr>
          <w:rFonts w:hint="eastAsia" w:ascii="Times New Roman" w:hAnsi="Times New Roman" w:eastAsia="仿宋_GB2312" w:cs="仿宋"/>
          <w:color w:val="auto"/>
          <w:spacing w:val="-8"/>
          <w:w w:val="95"/>
          <w:sz w:val="32"/>
          <w:szCs w:val="32"/>
          <w:highlight w:val="none"/>
          <w:u w:val="none"/>
        </w:rPr>
        <w:t>“</w:t>
      </w:r>
      <w:r>
        <w:rPr>
          <w:rFonts w:hint="eastAsia" w:ascii="Times New Roman" w:hAnsi="Times New Roman" w:eastAsia="仿宋_GB2312" w:cs="仿宋"/>
          <w:color w:val="auto"/>
          <w:spacing w:val="-15"/>
          <w:w w:val="95"/>
          <w:sz w:val="32"/>
          <w:szCs w:val="32"/>
          <w:highlight w:val="none"/>
          <w:u w:val="none"/>
        </w:rPr>
        <w:t>三公</w:t>
      </w:r>
      <w:r>
        <w:rPr>
          <w:rFonts w:hint="eastAsia" w:ascii="Times New Roman" w:hAnsi="Times New Roman" w:eastAsia="仿宋_GB2312" w:cs="仿宋"/>
          <w:color w:val="auto"/>
          <w:spacing w:val="-10"/>
          <w:w w:val="95"/>
          <w:sz w:val="32"/>
          <w:szCs w:val="32"/>
          <w:highlight w:val="none"/>
          <w:u w:val="none"/>
        </w:rPr>
        <w:t>”</w:t>
      </w:r>
      <w:r>
        <w:rPr>
          <w:rFonts w:hint="eastAsia" w:ascii="Times New Roman" w:hAnsi="Times New Roman" w:eastAsia="仿宋_GB2312" w:cs="仿宋"/>
          <w:color w:val="auto"/>
          <w:spacing w:val="-16"/>
          <w:w w:val="95"/>
          <w:sz w:val="32"/>
          <w:szCs w:val="32"/>
          <w:highlight w:val="none"/>
          <w:u w:val="none"/>
        </w:rPr>
        <w:t>经费支出表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pacing w:val="-16"/>
          <w:w w:val="95"/>
          <w:sz w:val="32"/>
          <w:szCs w:val="32"/>
          <w:highlight w:val="none"/>
          <w:u w:val="none"/>
        </w:rPr>
        <w:t>八、政府性基金预算支出表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十一、项目绩效目标表</w:t>
      </w:r>
    </w:p>
    <w:p>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十二、政府采购预算表</w:t>
      </w: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bookmarkStart w:id="0" w:name="_Toc30742"/>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rPr>
          <w:rFonts w:hint="eastAsia" w:ascii="方正小标宋简体" w:hAnsi="方正小标宋简体" w:eastAsia="方正小标宋简体" w:cs="方正小标宋简体"/>
          <w:b w:val="0"/>
          <w:bCs w:val="0"/>
          <w:color w:val="auto"/>
          <w:sz w:val="36"/>
          <w:szCs w:val="36"/>
          <w:highlight w:val="none"/>
          <w:u w:val="none"/>
        </w:rPr>
      </w:pPr>
    </w:p>
    <w:p>
      <w:pPr>
        <w:rPr>
          <w:rFonts w:hint="eastAsia" w:ascii="方正小标宋简体" w:hAnsi="方正小标宋简体" w:eastAsia="方正小标宋简体" w:cs="方正小标宋简体"/>
          <w:b w:val="0"/>
          <w:bCs w:val="0"/>
          <w:color w:val="auto"/>
          <w:sz w:val="36"/>
          <w:szCs w:val="36"/>
          <w:highlight w:val="none"/>
          <w:u w:val="none"/>
        </w:rPr>
      </w:pPr>
    </w:p>
    <w:p>
      <w:pP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r>
        <w:rPr>
          <w:rFonts w:hint="eastAsia" w:ascii="方正小标宋简体" w:hAnsi="方正小标宋简体" w:eastAsia="方正小标宋简体" w:cs="方正小标宋简体"/>
          <w:b w:val="0"/>
          <w:bCs w:val="0"/>
          <w:color w:val="auto"/>
          <w:sz w:val="36"/>
          <w:szCs w:val="36"/>
          <w:highlight w:val="none"/>
          <w:u w:val="none"/>
        </w:rPr>
        <w:t>第一部分  部门（单位）概况</w:t>
      </w:r>
      <w:bookmarkEnd w:id="0"/>
    </w:p>
    <w:p>
      <w:pPr>
        <w:spacing w:line="600" w:lineRule="exact"/>
        <w:rPr>
          <w:rFonts w:ascii="方正小标宋简体" w:hAnsi="方正小标宋简体" w:eastAsia="方正小标宋简体" w:cs="方正小标宋简体"/>
          <w:color w:val="auto"/>
          <w:sz w:val="36"/>
          <w:szCs w:val="36"/>
          <w:highlight w:val="none"/>
          <w:u w:val="none"/>
        </w:rPr>
      </w:pPr>
    </w:p>
    <w:p>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主要职能职责</w:t>
      </w:r>
    </w:p>
    <w:p>
      <w:pPr>
        <w:numPr>
          <w:ilvl w:val="0"/>
          <w:numId w:val="0"/>
        </w:numPr>
        <w:spacing w:line="600" w:lineRule="exact"/>
        <w:ind w:leftChars="203"/>
        <w:outlineLvl w:val="2"/>
        <w:rPr>
          <w:rFonts w:hint="default" w:eastAsia="黑体" w:cs="黑体"/>
          <w:color w:val="auto"/>
          <w:sz w:val="32"/>
          <w:szCs w:val="36"/>
          <w:highlight w:val="none"/>
          <w:u w:val="none"/>
          <w:lang w:val="en-US" w:eastAsia="zh-CN"/>
        </w:rPr>
      </w:pP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一</w:t>
      </w: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部门职能</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医院是一所集医疗、教学、科研、预防、保健、康复和急救于一体的现代化三级甲等综合医院，是内蒙古医科大学最早建立的直属附属医院和第一临床学院，是自治区最早建立的综合性医院之一，也是自治区重要的医疗教学实践基地、医疗卫生人才培养基地和临床医学研究中心。</w:t>
      </w:r>
    </w:p>
    <w:p>
      <w:pPr>
        <w:numPr>
          <w:ilvl w:val="0"/>
          <w:numId w:val="2"/>
        </w:numPr>
        <w:spacing w:line="600" w:lineRule="exact"/>
        <w:ind w:leftChars="203"/>
        <w:outlineLvl w:val="2"/>
        <w:rPr>
          <w:rFonts w:hint="eastAsia" w:eastAsia="黑体" w:cs="黑体"/>
          <w:color w:val="auto"/>
          <w:sz w:val="32"/>
          <w:szCs w:val="36"/>
          <w:highlight w:val="none"/>
          <w:u w:val="none"/>
          <w:lang w:val="en-US" w:eastAsia="zh-CN"/>
        </w:rPr>
      </w:pPr>
      <w:r>
        <w:rPr>
          <w:rFonts w:hint="eastAsia" w:eastAsia="黑体" w:cs="黑体"/>
          <w:color w:val="auto"/>
          <w:sz w:val="32"/>
          <w:szCs w:val="36"/>
          <w:highlight w:val="none"/>
          <w:u w:val="none"/>
          <w:lang w:val="en-US" w:eastAsia="zh-CN"/>
        </w:rPr>
        <w:t>部门主要职责</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内蒙古医科大学附属医院的主要职责：</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1.贯彻执行新时期党的卫生健康工作方针，贯彻落实上级党委、政府和内蒙古医科大学的工作部署和要求。</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2.为人民群众提供医疗、预防、保健、健康教育和公共卫生服务，不断提高医疗质量，确保医疗安全。</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3.保障内蒙古医科大学临床理论教学和实践教学的顺利进行。承担教学医院、住院医师规范化培训、继续医学教育等职责。</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4.开展对外交流和合作，承担涉外医疗服务。</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5.承担上级部门指令性医疗服务、突发公共事件的医疗卫生救助、公共卫生以及重大活动医疗保障等任务。</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6.开展援外医疗、对口帮扶、扶贫义诊、送医下乡等健康扶贫工作，并将扶贫资金纳入年度预算。</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7.承担上级党委、政府有关部门和内蒙古医科大学交办的其它事项。</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8.医院接受上级党委和政府有关部门的业务指导和监督管理。并承担以下社会责任和义务：</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（1）医院全面参与全民医保制度建设，落实社会医疗保险政策，积极推动异地就医直接结算，为患者提供更加方便、更多层次医疗健康保险服务。</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（2）医院积极开展医学科学研究，推动医学科技成果转化，建设药械临床试验平台，支持创新服务产品，促进医学科技进步。</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（3）医院按照规定加强与党政机关、企事业单位、社会组织的沟通、联系与合作，落实社会责任，推动健康内蒙古建设。</w:t>
      </w:r>
    </w:p>
    <w:p>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rPr>
        <w:t>（4）医院不参与企业营利性经营活动，不设立“院中院”，不进行科室承包。</w:t>
      </w:r>
    </w:p>
    <w:p>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部门（单位）机构设置及预算单位构成情况</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内蒙古医科大学附属医院机构设置</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医院依据相关法律、法规和规章，结合医院宗旨、发展目标、业务范围和实际需要，本着精简、高效、统一的原则，设立行政职能</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和临床医技科室。</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行政职能</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主要职责：执行医院管理决定；细化、落实医院在医疗、教学、科研、护理等方面的管理制度；为医院业务发展及学科建设提供决策依据与管理支持。</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临床医技科室主要职责：依法组织开展学科范围内的相关医疗执业活动，为患者提供诊疗、护理、康复和健康咨询等服务；负责提高本科室质量管理和病人服务水平；开展学科建设、医学教育、人才培养和科研工作；承担医院交办的其他工作。</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医院实行院、</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val="en-US" w:eastAsia="zh-CN"/>
        </w:rPr>
        <w:t>三</w:t>
      </w:r>
      <w:r>
        <w:rPr>
          <w:rFonts w:hint="eastAsia" w:eastAsia="仿宋_GB2312" w:cstheme="minorBidi"/>
          <w:color w:val="auto"/>
          <w:sz w:val="32"/>
          <w:szCs w:val="32"/>
          <w:highlight w:val="none"/>
          <w:u w:val="none"/>
        </w:rPr>
        <w:t>级管理责任制</w:t>
      </w:r>
      <w:r>
        <w:rPr>
          <w:rFonts w:hint="eastAsia" w:eastAsia="仿宋_GB2312" w:cstheme="minorBidi"/>
          <w:color w:val="auto"/>
          <w:sz w:val="32"/>
          <w:szCs w:val="32"/>
          <w:highlight w:val="none"/>
          <w:u w:val="none"/>
        </w:rPr>
        <w:t>。医院本着责、权、利相统一的原则，在人、财、物等方面明确科室相应的管理权限，指导和监督</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科室</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在医院授权范围内自主管理。</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内设机构负责人包括正（</w:t>
      </w:r>
      <w:bookmarkStart w:id="4" w:name="_GoBack"/>
      <w:bookmarkEnd w:id="4"/>
      <w:r>
        <w:rPr>
          <w:rFonts w:hint="eastAsia" w:eastAsia="仿宋_GB2312" w:cstheme="minorBidi"/>
          <w:color w:val="auto"/>
          <w:sz w:val="32"/>
          <w:szCs w:val="32"/>
          <w:highlight w:val="none"/>
          <w:u w:val="none"/>
        </w:rPr>
        <w:t>副）</w:t>
      </w:r>
      <w:r>
        <w:rPr>
          <w:rFonts w:hint="eastAsia" w:eastAsia="仿宋_GB2312" w:cstheme="minorBidi"/>
          <w:color w:val="auto"/>
          <w:sz w:val="32"/>
          <w:szCs w:val="32"/>
          <w:highlight w:val="none"/>
          <w:u w:val="none"/>
          <w:lang w:val="en-US" w:eastAsia="zh-CN"/>
        </w:rPr>
        <w:t>处长</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正（副）科主任、支部书记、护士长等在内的核心管理团队，负责制定部门管理细则，完善民主决策制度、</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务会会议制度以及全体会议制度；</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室负责人是科室管理和安全生产的第一责任人，负责</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室的日常管理，组织贯彻上级指示精神，培训宣教，党团建设等工作。</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（二）内蒙古医科大学附属医院人员基本情况</w:t>
      </w:r>
    </w:p>
    <w:p>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预算事业编制数</w:t>
      </w:r>
      <w:r>
        <w:rPr>
          <w:rFonts w:hint="eastAsia" w:eastAsia="仿宋_GB2312" w:cstheme="minorBidi"/>
          <w:color w:val="auto"/>
          <w:sz w:val="32"/>
          <w:szCs w:val="32"/>
          <w:highlight w:val="none"/>
          <w:u w:val="none"/>
          <w:lang w:val="en-US" w:eastAsia="zh-CN"/>
        </w:rPr>
        <w:t>2395</w:t>
      </w:r>
      <w:r>
        <w:rPr>
          <w:rFonts w:hint="eastAsia" w:eastAsia="仿宋_GB2312" w:cstheme="minorBidi"/>
          <w:color w:val="auto"/>
          <w:sz w:val="32"/>
          <w:szCs w:val="32"/>
          <w:highlight w:val="none"/>
          <w:u w:val="none"/>
        </w:rPr>
        <w:t>人。截止202</w:t>
      </w:r>
      <w:r>
        <w:rPr>
          <w:rFonts w:hint="eastAsia" w:eastAsia="仿宋_GB2312" w:cstheme="minorBidi"/>
          <w:color w:val="auto"/>
          <w:sz w:val="32"/>
          <w:szCs w:val="32"/>
          <w:highlight w:val="none"/>
          <w:u w:val="none"/>
          <w:lang w:val="en-US" w:eastAsia="zh-CN"/>
        </w:rPr>
        <w:t>4</w:t>
      </w:r>
      <w:r>
        <w:rPr>
          <w:rFonts w:hint="eastAsia" w:eastAsia="仿宋_GB2312" w:cstheme="minorBidi"/>
          <w:color w:val="auto"/>
          <w:sz w:val="32"/>
          <w:szCs w:val="32"/>
          <w:highlight w:val="none"/>
          <w:u w:val="none"/>
        </w:rPr>
        <w:t xml:space="preserve">年12月末实有人数 </w:t>
      </w:r>
      <w:r>
        <w:rPr>
          <w:rFonts w:hint="eastAsia" w:eastAsia="仿宋_GB2312" w:cstheme="minorBidi"/>
          <w:color w:val="auto"/>
          <w:sz w:val="32"/>
          <w:szCs w:val="32"/>
          <w:highlight w:val="none"/>
          <w:u w:val="none"/>
          <w:lang w:val="en-US" w:eastAsia="zh-CN"/>
        </w:rPr>
        <w:t>4923</w:t>
      </w:r>
      <w:r>
        <w:rPr>
          <w:rFonts w:hint="eastAsia" w:eastAsia="仿宋_GB2312" w:cstheme="minorBidi"/>
          <w:color w:val="auto"/>
          <w:sz w:val="32"/>
          <w:szCs w:val="32"/>
          <w:highlight w:val="none"/>
          <w:u w:val="none"/>
        </w:rPr>
        <w:t>人，其中：在</w:t>
      </w:r>
      <w:r>
        <w:rPr>
          <w:rFonts w:hint="eastAsia" w:eastAsia="仿宋_GB2312" w:cstheme="minorBidi"/>
          <w:color w:val="auto"/>
          <w:sz w:val="32"/>
          <w:szCs w:val="32"/>
          <w:highlight w:val="none"/>
          <w:u w:val="none"/>
          <w:lang w:val="en-US" w:eastAsia="zh-CN"/>
        </w:rPr>
        <w:t>编</w:t>
      </w:r>
      <w:r>
        <w:rPr>
          <w:rFonts w:hint="eastAsia" w:eastAsia="仿宋_GB2312" w:cstheme="minorBidi"/>
          <w:color w:val="auto"/>
          <w:sz w:val="32"/>
          <w:szCs w:val="32"/>
          <w:highlight w:val="none"/>
          <w:u w:val="none"/>
        </w:rPr>
        <w:t>人员</w:t>
      </w:r>
      <w:r>
        <w:rPr>
          <w:rFonts w:hint="eastAsia" w:eastAsia="仿宋_GB2312" w:cstheme="minorBidi"/>
          <w:color w:val="auto"/>
          <w:sz w:val="32"/>
          <w:szCs w:val="32"/>
          <w:highlight w:val="none"/>
          <w:u w:val="none"/>
          <w:lang w:val="en-US" w:eastAsia="zh-CN"/>
        </w:rPr>
        <w:t>2125</w:t>
      </w:r>
      <w:r>
        <w:rPr>
          <w:rFonts w:hint="eastAsia" w:eastAsia="仿宋_GB2312" w:cstheme="minorBidi"/>
          <w:color w:val="auto"/>
          <w:sz w:val="32"/>
          <w:szCs w:val="32"/>
          <w:highlight w:val="none"/>
          <w:u w:val="none"/>
        </w:rPr>
        <w:t>人，长期聘用人员</w:t>
      </w:r>
      <w:r>
        <w:rPr>
          <w:rFonts w:hint="eastAsia" w:eastAsia="仿宋_GB2312" w:cstheme="minorBidi"/>
          <w:color w:val="auto"/>
          <w:sz w:val="32"/>
          <w:szCs w:val="32"/>
          <w:highlight w:val="none"/>
          <w:u w:val="none"/>
          <w:lang w:val="en-US" w:eastAsia="zh-CN"/>
        </w:rPr>
        <w:t>2798</w:t>
      </w:r>
      <w:r>
        <w:rPr>
          <w:rFonts w:hint="eastAsia" w:eastAsia="仿宋_GB2312" w:cstheme="minorBidi"/>
          <w:color w:val="auto"/>
          <w:sz w:val="32"/>
          <w:szCs w:val="32"/>
          <w:highlight w:val="none"/>
          <w:u w:val="none"/>
        </w:rPr>
        <w:t>人，离退休人员</w:t>
      </w:r>
      <w:r>
        <w:rPr>
          <w:rFonts w:hint="eastAsia" w:eastAsia="仿宋_GB2312" w:cstheme="minorBidi"/>
          <w:color w:val="auto"/>
          <w:sz w:val="32"/>
          <w:szCs w:val="32"/>
          <w:highlight w:val="none"/>
          <w:u w:val="none"/>
          <w:lang w:val="en-US" w:eastAsia="zh-CN"/>
        </w:rPr>
        <w:t>856</w:t>
      </w:r>
      <w:r>
        <w:rPr>
          <w:rFonts w:hint="eastAsia" w:eastAsia="仿宋_GB2312" w:cstheme="minorBidi"/>
          <w:color w:val="auto"/>
          <w:sz w:val="32"/>
          <w:szCs w:val="32"/>
          <w:highlight w:val="none"/>
          <w:u w:val="none"/>
        </w:rPr>
        <w:t xml:space="preserve">人。 </w:t>
      </w:r>
    </w:p>
    <w:p>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ascii="仿宋_GB2312" w:hAnsi="仿宋_GB2312" w:eastAsia="黑体" w:cs="黑体"/>
          <w:color w:val="auto"/>
          <w:sz w:val="32"/>
          <w:szCs w:val="36"/>
          <w:highlight w:val="none"/>
          <w:u w:val="none"/>
          <w:lang w:val="en-US" w:eastAsia="zh-CN"/>
        </w:rPr>
        <w:t>2025</w:t>
      </w:r>
      <w:r>
        <w:rPr>
          <w:rFonts w:hint="eastAsia" w:eastAsia="黑体" w:cs="黑体"/>
          <w:color w:val="auto"/>
          <w:sz w:val="32"/>
          <w:szCs w:val="36"/>
          <w:highlight w:val="none"/>
          <w:u w:val="none"/>
        </w:rPr>
        <w:t>年度部门（单位）主要工作任务及目标</w:t>
      </w:r>
    </w:p>
    <w:p>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2025年，是“十四五”规划的收官之年，也是“十五五”规划的谋篇之年，医院第七次党代会提出的各项目标任务的贯彻落实也将在今年全面启动。2025年，医院总体工作思路是：以习近平新时代中国特色社会主义思想为指导，全面贯彻落实党的二十大、二十届二中三中全会精神和新时代党的卫生与健康工作方针，以党建为引领，以铸牢中华民族共同体意识为主线，围绕自治区办好“两件大事”和实现“闯新路、进中游”目标，坚持“以人民为中心”的理念，坚持稳中求进的基调，更好统筹好发展和安全，凝聚各方力量，锐意改革创新，努力推动医院高质量发展再上新台阶。</w:t>
      </w:r>
    </w:p>
    <w:p>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医院将继续锚定“晋位升级”目标，以“党建领航、质量提升、学科融合、管理升级、患者满意”为抓手，在全面总结梳理、科学调研规划的基础上，擘画好“十五五”蓝图，结合第七次党代会提出的“两个坚持”“六大突破”和“九大愿景”，重点做好以下10个方面的工作：一、加强党的领导，进一步提升党建与业务融合度；二、以医药卫生体制改革为驱动，构建健康服务新格局；三、以科研、教学带动人才队伍建设；四、以医疗卫生强基工程为指引，开启医疗发展新征程；五、以“旗舰”医院建设为契机，推动中（蒙）医药协同发展；六、完善安全生产责任体系，全方位筑牢安全防线；七、推进高水平医院建设，打造自治区医疗“高峰”等。</w:t>
      </w:r>
    </w:p>
    <w:p>
      <w:pPr>
        <w:spacing w:line="600" w:lineRule="exact"/>
        <w:ind w:firstLine="640" w:firstLineChars="200"/>
        <w:rPr>
          <w:rFonts w:hint="default" w:eastAsia="仿宋_GB2312" w:cstheme="minorBidi"/>
          <w:color w:val="auto"/>
          <w:sz w:val="32"/>
          <w:szCs w:val="32"/>
          <w:highlight w:val="none"/>
          <w:u w:val="none"/>
          <w:lang w:val="en-US" w:eastAsia="zh-CN"/>
        </w:rPr>
      </w:pPr>
    </w:p>
    <w:p>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1" w:name="_Toc21288"/>
      <w:r>
        <w:rPr>
          <w:rFonts w:hint="eastAsia" w:ascii="方正小标宋简体" w:hAnsi="方正小标宋简体" w:eastAsia="方正小标宋简体" w:cs="方正小标宋简体"/>
          <w:b w:val="0"/>
          <w:bCs w:val="0"/>
          <w:color w:val="auto"/>
          <w:sz w:val="36"/>
          <w:szCs w:val="36"/>
          <w:highlight w:val="none"/>
          <w:u w:val="none"/>
        </w:rPr>
        <w:t>第二部分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2025</w:t>
      </w:r>
      <w:r>
        <w:rPr>
          <w:rFonts w:hint="eastAsia" w:ascii="方正小标宋简体" w:hAnsi="方正小标宋简体" w:eastAsia="方正小标宋简体" w:cs="方正小标宋简体"/>
          <w:b w:val="0"/>
          <w:bCs w:val="0"/>
          <w:color w:val="auto"/>
          <w:sz w:val="36"/>
          <w:szCs w:val="36"/>
          <w:highlight w:val="none"/>
          <w:u w:val="none"/>
        </w:rPr>
        <w:t>年度部门（单位）预算情况说明</w:t>
      </w:r>
      <w:bookmarkEnd w:id="1"/>
    </w:p>
    <w:p>
      <w:pPr>
        <w:spacing w:line="600" w:lineRule="exact"/>
        <w:rPr>
          <w:rFonts w:ascii="方正小标宋简体" w:hAnsi="方正小标宋简体" w:eastAsia="方正小标宋简体" w:cs="方正小标宋简体"/>
          <w:color w:val="auto"/>
          <w:sz w:val="36"/>
          <w:szCs w:val="36"/>
          <w:highlight w:val="none"/>
          <w:u w:val="none"/>
        </w:rPr>
      </w:pP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一、收支预算总体情况说明</w:t>
      </w:r>
    </w:p>
    <w:p>
      <w:pPr>
        <w:pStyle w:val="8"/>
        <w:tabs>
          <w:tab w:val="left" w:pos="5840"/>
          <w:tab w:val="left" w:pos="7858"/>
          <w:tab w:val="left" w:pos="9328"/>
        </w:tabs>
        <w:spacing w:after="0"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仿宋_GB2312" w:hAnsi="仿宋_GB2312" w:eastAsia="仿宋_GB2312" w:cs="仿宋_GB2312"/>
          <w:color w:val="auto"/>
          <w:sz w:val="32"/>
          <w:szCs w:val="32"/>
          <w:highlight w:val="none"/>
          <w:u w:val="none"/>
        </w:rPr>
        <w:t xml:space="preserve">年度收入、支出预算总计 </w:t>
      </w:r>
      <w:r>
        <w:rPr>
          <w:rFonts w:hint="eastAsia" w:ascii="仿宋_GB2312" w:hAnsi="仿宋_GB2312" w:eastAsia="仿宋_GB2312" w:cs="仿宋_GB2312"/>
          <w:color w:val="auto"/>
          <w:sz w:val="32"/>
          <w:szCs w:val="32"/>
          <w:highlight w:val="none"/>
          <w:u w:val="none"/>
          <w:lang w:val="en-US" w:eastAsia="zh-CN"/>
        </w:rPr>
        <w:t>335685.46</w:t>
      </w:r>
      <w:r>
        <w:rPr>
          <w:rFonts w:hint="eastAsia" w:ascii="仿宋_GB2312" w:hAnsi="仿宋_GB2312" w:eastAsia="仿宋_GB2312" w:cs="仿宋_GB2312"/>
          <w:color w:val="auto"/>
          <w:sz w:val="32"/>
          <w:szCs w:val="32"/>
          <w:highlight w:val="none"/>
          <w:u w:val="none"/>
        </w:rPr>
        <w:t xml:space="preserve">万元，与上年相比收、支预算总计各增加 </w:t>
      </w:r>
      <w:r>
        <w:rPr>
          <w:rFonts w:hint="eastAsia" w:ascii="仿宋_GB2312" w:hAnsi="仿宋_GB2312" w:eastAsia="仿宋_GB2312" w:cs="仿宋_GB2312"/>
          <w:color w:val="auto"/>
          <w:sz w:val="32"/>
          <w:szCs w:val="32"/>
          <w:highlight w:val="none"/>
          <w:u w:val="none"/>
          <w:lang w:val="en-US" w:eastAsia="zh-CN"/>
        </w:rPr>
        <w:t>11845.14</w:t>
      </w:r>
      <w:r>
        <w:rPr>
          <w:rFonts w:hint="eastAsia" w:ascii="仿宋_GB2312" w:hAnsi="仿宋_GB2312" w:eastAsia="仿宋_GB2312" w:cs="仿宋_GB2312"/>
          <w:color w:val="auto"/>
          <w:sz w:val="32"/>
          <w:szCs w:val="32"/>
          <w:highlight w:val="none"/>
          <w:u w:val="none"/>
        </w:rPr>
        <w:t xml:space="preserve">万元，增长 </w:t>
      </w:r>
      <w:r>
        <w:rPr>
          <w:rFonts w:hint="eastAsia" w:ascii="仿宋_GB2312" w:hAnsi="仿宋_GB2312" w:eastAsia="仿宋_GB2312" w:cs="仿宋_GB2312"/>
          <w:color w:val="auto"/>
          <w:sz w:val="32"/>
          <w:szCs w:val="32"/>
          <w:highlight w:val="none"/>
          <w:u w:val="none"/>
          <w:lang w:val="en-US" w:eastAsia="zh-CN"/>
        </w:rPr>
        <w:t>3.66</w:t>
      </w:r>
      <w:r>
        <w:rPr>
          <w:rFonts w:hint="eastAsia" w:ascii="仿宋_GB2312" w:hAnsi="仿宋_GB2312" w:eastAsia="仿宋_GB2312" w:cs="仿宋_GB2312"/>
          <w:color w:val="auto"/>
          <w:sz w:val="32"/>
          <w:szCs w:val="32"/>
          <w:highlight w:val="none"/>
          <w:u w:val="none"/>
        </w:rPr>
        <w:t xml:space="preserve"> %。其中：</w:t>
      </w:r>
    </w:p>
    <w:p>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（一）收入预算总计</w:t>
      </w:r>
      <w:r>
        <w:rPr>
          <w:rFonts w:hint="eastAsia" w:ascii="Times New Roman" w:hAnsi="Times New Roman" w:eastAsia="仿宋_GB2312" w:cs="仿宋"/>
          <w:color w:val="auto"/>
          <w:sz w:val="32"/>
          <w:szCs w:val="32"/>
          <w:highlight w:val="none"/>
          <w:u w:val="none"/>
        </w:rPr>
        <w:t xml:space="preserve"> </w:t>
      </w:r>
      <w:r>
        <w:rPr>
          <w:rFonts w:hint="eastAsia" w:ascii="仿宋_GB2312" w:hAnsi="仿宋_GB2312" w:eastAsia="仿宋_GB2312" w:cs="仿宋_GB2312"/>
          <w:b/>
          <w:bCs/>
          <w:color w:val="auto"/>
          <w:sz w:val="32"/>
          <w:szCs w:val="32"/>
          <w:highlight w:val="none"/>
          <w:u w:val="none"/>
          <w:lang w:val="en-US" w:eastAsia="zh-CN"/>
        </w:rPr>
        <w:t>335685.46</w:t>
      </w:r>
      <w:r>
        <w:rPr>
          <w:rFonts w:hint="eastAsia" w:ascii="Times New Roman" w:hAnsi="Times New Roman" w:eastAsia="仿宋_GB2312" w:cs="仿宋"/>
          <w:color w:val="auto"/>
          <w:sz w:val="32"/>
          <w:szCs w:val="32"/>
          <w:highlight w:val="none"/>
          <w:u w:val="none"/>
        </w:rPr>
        <w:t xml:space="preserve"> </w:t>
      </w:r>
      <w:r>
        <w:rPr>
          <w:rFonts w:hint="eastAsia" w:ascii="楷体" w:hAnsi="楷体" w:eastAsia="楷体" w:cs="楷体"/>
          <w:b/>
          <w:bCs/>
          <w:color w:val="auto"/>
          <w:sz w:val="32"/>
          <w:szCs w:val="32"/>
          <w:highlight w:val="none"/>
          <w:u w:val="none"/>
        </w:rPr>
        <w:t>万元。包括：</w:t>
      </w:r>
    </w:p>
    <w:p>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1．本年收入合计 </w:t>
      </w:r>
      <w:r>
        <w:rPr>
          <w:rFonts w:hint="eastAsia" w:ascii="仿宋_GB2312" w:hAnsi="仿宋_GB2312" w:eastAsia="仿宋_GB2312" w:cs="仿宋_GB2312"/>
          <w:color w:val="auto"/>
          <w:sz w:val="32"/>
          <w:szCs w:val="32"/>
          <w:highlight w:val="none"/>
          <w:u w:val="none"/>
          <w:lang w:val="en-US" w:eastAsia="zh-CN"/>
        </w:rPr>
        <w:t xml:space="preserve">333270.40 </w:t>
      </w:r>
      <w:r>
        <w:rPr>
          <w:rFonts w:eastAsia="仿宋_GB2312"/>
          <w:color w:val="auto"/>
          <w:sz w:val="32"/>
          <w:szCs w:val="32"/>
          <w:highlight w:val="none"/>
          <w:u w:val="none"/>
        </w:rPr>
        <w:t xml:space="preserve"> 万元。</w:t>
      </w:r>
    </w:p>
    <w:p>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（1）一般公共预算拨款收入 </w:t>
      </w:r>
      <w:r>
        <w:rPr>
          <w:rFonts w:hint="eastAsia" w:eastAsia="仿宋_GB2312"/>
          <w:color w:val="auto"/>
          <w:sz w:val="32"/>
          <w:szCs w:val="32"/>
          <w:highlight w:val="none"/>
          <w:u w:val="none"/>
          <w:lang w:val="en-US" w:eastAsia="zh-CN"/>
        </w:rPr>
        <w:t>13270.40</w:t>
      </w:r>
      <w:r>
        <w:rPr>
          <w:rFonts w:eastAsia="仿宋_GB2312"/>
          <w:color w:val="auto"/>
          <w:sz w:val="32"/>
          <w:szCs w:val="32"/>
          <w:highlight w:val="none"/>
          <w:u w:val="none"/>
        </w:rPr>
        <w:t xml:space="preserve"> 万元，与上年相比增加 </w:t>
      </w:r>
      <w:r>
        <w:rPr>
          <w:rFonts w:hint="eastAsia" w:eastAsia="仿宋_GB2312"/>
          <w:color w:val="auto"/>
          <w:sz w:val="32"/>
          <w:szCs w:val="32"/>
          <w:highlight w:val="none"/>
          <w:u w:val="none"/>
        </w:rPr>
        <w:t>6323.84</w:t>
      </w:r>
      <w:r>
        <w:rPr>
          <w:rFonts w:eastAsia="仿宋_GB2312"/>
          <w:color w:val="auto"/>
          <w:sz w:val="32"/>
          <w:szCs w:val="32"/>
          <w:highlight w:val="none"/>
          <w:u w:val="none"/>
        </w:rPr>
        <w:t xml:space="preserve"> 万元，增长 </w:t>
      </w:r>
      <w:r>
        <w:rPr>
          <w:rFonts w:hint="eastAsia" w:eastAsia="仿宋_GB2312"/>
          <w:color w:val="auto"/>
          <w:sz w:val="32"/>
          <w:szCs w:val="32"/>
          <w:highlight w:val="none"/>
          <w:u w:val="none"/>
          <w:lang w:val="en-US" w:eastAsia="zh-CN"/>
        </w:rPr>
        <w:t>91.04</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2025年财政拨付我院定向补助增加</w:t>
      </w:r>
      <w:r>
        <w:rPr>
          <w:rFonts w:eastAsia="仿宋_GB2312"/>
          <w:color w:val="auto"/>
          <w:sz w:val="32"/>
          <w:szCs w:val="32"/>
          <w:highlight w:val="none"/>
          <w:u w:val="none"/>
        </w:rPr>
        <w:t>。</w:t>
      </w:r>
    </w:p>
    <w:p>
      <w:pPr>
        <w:pStyle w:val="8"/>
        <w:tabs>
          <w:tab w:val="left" w:pos="1389"/>
          <w:tab w:val="left" w:pos="4911"/>
          <w:tab w:val="left" w:pos="599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（2）政府性基金预算拨款收入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1389"/>
          <w:tab w:val="left" w:pos="4911"/>
          <w:tab w:val="left" w:pos="6205"/>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（3）国有资本经营预算拨款收入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（4）财政专户管理资金收入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万元，与上年相比增加（减少）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3310"/>
          <w:tab w:val="left" w:pos="3807"/>
          <w:tab w:val="left" w:pos="9433"/>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（5）事业收入 </w:t>
      </w:r>
      <w:r>
        <w:rPr>
          <w:rFonts w:hint="eastAsia" w:eastAsia="仿宋_GB2312"/>
          <w:color w:val="auto"/>
          <w:sz w:val="32"/>
          <w:szCs w:val="32"/>
          <w:highlight w:val="none"/>
          <w:u w:val="none"/>
          <w:lang w:val="en-US" w:eastAsia="zh-CN"/>
        </w:rPr>
        <w:t>320000.00</w:t>
      </w:r>
      <w:r>
        <w:rPr>
          <w:rFonts w:eastAsia="仿宋_GB2312"/>
          <w:color w:val="auto"/>
          <w:sz w:val="32"/>
          <w:szCs w:val="32"/>
          <w:highlight w:val="none"/>
          <w:u w:val="none"/>
        </w:rPr>
        <w:t xml:space="preserve"> 万元，与上年相比增加</w:t>
      </w:r>
      <w:r>
        <w:rPr>
          <w:rFonts w:hint="eastAsia" w:eastAsia="仿宋_GB2312"/>
          <w:color w:val="auto"/>
          <w:sz w:val="32"/>
          <w:szCs w:val="32"/>
          <w:highlight w:val="none"/>
          <w:u w:val="none"/>
          <w:lang w:val="en-US" w:eastAsia="zh-CN"/>
        </w:rPr>
        <w:t>10000.00</w:t>
      </w:r>
      <w:r>
        <w:rPr>
          <w:rFonts w:eastAsia="仿宋_GB2312"/>
          <w:color w:val="auto"/>
          <w:sz w:val="32"/>
          <w:szCs w:val="32"/>
          <w:highlight w:val="none"/>
          <w:u w:val="none"/>
        </w:rPr>
        <w:t xml:space="preserve">     万元，增长 </w:t>
      </w:r>
      <w:r>
        <w:rPr>
          <w:rFonts w:hint="eastAsia" w:eastAsia="仿宋_GB2312"/>
          <w:color w:val="auto"/>
          <w:sz w:val="32"/>
          <w:szCs w:val="32"/>
          <w:highlight w:val="none"/>
          <w:u w:val="none"/>
          <w:lang w:val="en-US" w:eastAsia="zh-CN"/>
        </w:rPr>
        <w:t>3.23</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考虑到我院通过开展预住院等举措缩短住院日提高医疗服务效率，可以多提供诊疗服务带来的医疗收入增加</w:t>
      </w:r>
      <w:r>
        <w:rPr>
          <w:rFonts w:eastAsia="仿宋_GB2312"/>
          <w:color w:val="auto"/>
          <w:sz w:val="32"/>
          <w:szCs w:val="32"/>
          <w:highlight w:val="none"/>
          <w:u w:val="none"/>
        </w:rPr>
        <w:t>。</w:t>
      </w:r>
    </w:p>
    <w:p>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（6）事业单位经营收入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万元，与上年相比增加（减少）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4320"/>
          <w:tab w:val="left" w:pos="9433"/>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（7）上级补助收入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（8）附属单位上缴收入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pPr>
        <w:pStyle w:val="8"/>
        <w:tabs>
          <w:tab w:val="left" w:pos="3310"/>
          <w:tab w:val="left" w:pos="4121"/>
          <w:tab w:val="left" w:pos="943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（9）其他收入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万元，与上年相比减少 </w:t>
      </w:r>
      <w:r>
        <w:rPr>
          <w:rFonts w:hint="eastAsia" w:eastAsia="仿宋_GB2312"/>
          <w:color w:val="auto"/>
          <w:sz w:val="32"/>
          <w:szCs w:val="32"/>
          <w:highlight w:val="none"/>
          <w:u w:val="none"/>
        </w:rPr>
        <w:t>2104.42</w:t>
      </w:r>
      <w:r>
        <w:rPr>
          <w:rFonts w:eastAsia="仿宋_GB2312"/>
          <w:color w:val="auto"/>
          <w:sz w:val="32"/>
          <w:szCs w:val="32"/>
          <w:highlight w:val="none"/>
          <w:u w:val="none"/>
        </w:rPr>
        <w:t xml:space="preserve">  万元，减少 </w:t>
      </w:r>
      <w:r>
        <w:rPr>
          <w:rFonts w:hint="eastAsia" w:eastAsia="仿宋_GB2312"/>
          <w:color w:val="auto"/>
          <w:sz w:val="32"/>
          <w:szCs w:val="32"/>
          <w:highlight w:val="none"/>
          <w:u w:val="none"/>
          <w:lang w:val="en-US" w:eastAsia="zh-CN"/>
        </w:rPr>
        <w:t>100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除财政补助资金之外的其他资金（科教收入）1675.99万元无法细化填报</w:t>
      </w:r>
      <w:r>
        <w:rPr>
          <w:rFonts w:eastAsia="仿宋_GB2312"/>
          <w:color w:val="auto"/>
          <w:sz w:val="32"/>
          <w:szCs w:val="32"/>
          <w:highlight w:val="none"/>
          <w:u w:val="none"/>
        </w:rPr>
        <w:t>。</w:t>
      </w:r>
    </w:p>
    <w:p>
      <w:pPr>
        <w:pStyle w:val="8"/>
        <w:tabs>
          <w:tab w:val="left" w:pos="3310"/>
          <w:tab w:val="left" w:pos="4280"/>
          <w:tab w:val="left" w:pos="943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2．上年结转结余 </w:t>
      </w:r>
      <w:r>
        <w:rPr>
          <w:rFonts w:hint="eastAsia" w:eastAsia="仿宋_GB2312"/>
          <w:color w:val="auto"/>
          <w:sz w:val="32"/>
          <w:szCs w:val="32"/>
          <w:highlight w:val="none"/>
          <w:u w:val="none"/>
        </w:rPr>
        <w:t>2415.06</w:t>
      </w:r>
      <w:r>
        <w:rPr>
          <w:rFonts w:eastAsia="仿宋_GB2312"/>
          <w:color w:val="auto"/>
          <w:sz w:val="32"/>
          <w:szCs w:val="32"/>
          <w:highlight w:val="none"/>
          <w:u w:val="none"/>
        </w:rPr>
        <w:t xml:space="preserve"> 万元。与上年相比减少</w:t>
      </w:r>
      <w:r>
        <w:rPr>
          <w:rFonts w:hint="eastAsia" w:eastAsia="仿宋_GB2312"/>
          <w:color w:val="auto"/>
          <w:sz w:val="32"/>
          <w:szCs w:val="32"/>
          <w:highlight w:val="none"/>
          <w:u w:val="none"/>
        </w:rPr>
        <w:t>2374.28</w:t>
      </w:r>
      <w:r>
        <w:rPr>
          <w:rFonts w:eastAsia="仿宋_GB2312"/>
          <w:color w:val="auto"/>
          <w:sz w:val="32"/>
          <w:szCs w:val="32"/>
          <w:highlight w:val="none"/>
          <w:u w:val="none"/>
        </w:rPr>
        <w:t xml:space="preserve">   万元，减少</w:t>
      </w:r>
      <w:r>
        <w:rPr>
          <w:rFonts w:hint="eastAsia" w:eastAsia="仿宋_GB2312"/>
          <w:color w:val="auto"/>
          <w:sz w:val="32"/>
          <w:szCs w:val="32"/>
          <w:highlight w:val="none"/>
          <w:u w:val="none"/>
          <w:lang w:val="en-US" w:eastAsia="zh-CN"/>
        </w:rPr>
        <w:t>49.57</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2024年我单位支出情况较好，预算执行率达到91%，为近年来的最高水平，故2025年结转结余较少</w:t>
      </w:r>
      <w:r>
        <w:rPr>
          <w:rFonts w:eastAsia="仿宋_GB2312"/>
          <w:color w:val="auto"/>
          <w:sz w:val="32"/>
          <w:szCs w:val="32"/>
          <w:highlight w:val="none"/>
          <w:u w:val="none"/>
        </w:rPr>
        <w:t>。</w:t>
      </w:r>
    </w:p>
    <w:p>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（二）支出预算总计</w:t>
      </w:r>
      <w:r>
        <w:rPr>
          <w:rFonts w:hint="eastAsia" w:ascii="Times New Roman" w:hAnsi="Times New Roman" w:eastAsia="仿宋_GB2312" w:cs="仿宋"/>
          <w:color w:val="auto"/>
          <w:sz w:val="32"/>
          <w:szCs w:val="32"/>
          <w:highlight w:val="none"/>
          <w:u w:val="none"/>
        </w:rPr>
        <w:t xml:space="preserve"> 335685.46 </w:t>
      </w:r>
      <w:r>
        <w:rPr>
          <w:rFonts w:hint="eastAsia" w:ascii="楷体" w:hAnsi="楷体" w:eastAsia="楷体" w:cs="楷体"/>
          <w:b/>
          <w:bCs/>
          <w:color w:val="auto"/>
          <w:sz w:val="32"/>
          <w:szCs w:val="32"/>
          <w:highlight w:val="none"/>
          <w:u w:val="none"/>
        </w:rPr>
        <w:t>万元。包括：</w:t>
      </w:r>
    </w:p>
    <w:p>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1．本年支出合计</w:t>
      </w:r>
      <w:r>
        <w:rPr>
          <w:rFonts w:hint="eastAsia" w:eastAsia="仿宋_GB2312"/>
          <w:color w:val="auto"/>
          <w:sz w:val="32"/>
          <w:szCs w:val="32"/>
          <w:highlight w:val="none"/>
          <w:u w:val="none"/>
        </w:rPr>
        <w:t>335685.46</w:t>
      </w:r>
      <w:r>
        <w:rPr>
          <w:rFonts w:eastAsia="仿宋_GB2312"/>
          <w:color w:val="auto"/>
          <w:sz w:val="32"/>
          <w:szCs w:val="32"/>
          <w:highlight w:val="none"/>
          <w:u w:val="none"/>
        </w:rPr>
        <w:t>万元。</w:t>
      </w:r>
    </w:p>
    <w:p>
      <w:pPr>
        <w:pStyle w:val="8"/>
        <w:tabs>
          <w:tab w:val="left" w:pos="3288"/>
          <w:tab w:val="left" w:pos="5641"/>
          <w:tab w:val="left" w:pos="677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w:t>
      </w:r>
      <w:r>
        <w:rPr>
          <w:rFonts w:hint="eastAsia" w:eastAsia="仿宋_GB2312"/>
          <w:color w:val="auto"/>
          <w:sz w:val="32"/>
          <w:szCs w:val="32"/>
          <w:highlight w:val="none"/>
          <w:u w:val="none"/>
          <w:lang w:val="en-US" w:eastAsia="zh-CN"/>
        </w:rPr>
        <w:t>科学技术</w:t>
      </w:r>
      <w:r>
        <w:rPr>
          <w:rFonts w:eastAsia="仿宋_GB2312"/>
          <w:color w:val="auto"/>
          <w:sz w:val="32"/>
          <w:szCs w:val="32"/>
          <w:highlight w:val="none"/>
          <w:u w:val="none"/>
        </w:rPr>
        <w:t>支出</w:t>
      </w:r>
      <w:r>
        <w:rPr>
          <w:rFonts w:hint="eastAsia" w:eastAsia="仿宋_GB2312"/>
          <w:color w:val="auto"/>
          <w:sz w:val="32"/>
          <w:szCs w:val="32"/>
          <w:highlight w:val="none"/>
          <w:u w:val="none"/>
        </w:rPr>
        <w:t>1157.59</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国家开展科学研究与实验发展阶段与科技活动有关的人、财、物等资源的投入科技经费总量</w:t>
      </w:r>
      <w:r>
        <w:rPr>
          <w:rFonts w:eastAsia="仿宋_GB2312"/>
          <w:color w:val="auto"/>
          <w:sz w:val="32"/>
          <w:szCs w:val="32"/>
          <w:highlight w:val="none"/>
          <w:u w:val="none"/>
        </w:rPr>
        <w:t>。与上年相比增加</w:t>
      </w:r>
      <w:r>
        <w:rPr>
          <w:rFonts w:hint="eastAsia" w:eastAsia="仿宋_GB2312"/>
          <w:color w:val="auto"/>
          <w:sz w:val="32"/>
          <w:szCs w:val="32"/>
          <w:highlight w:val="none"/>
          <w:u w:val="none"/>
        </w:rPr>
        <w:t>340.29</w:t>
      </w:r>
      <w:r>
        <w:rPr>
          <w:rFonts w:eastAsia="仿宋_GB2312"/>
          <w:color w:val="auto"/>
          <w:sz w:val="32"/>
          <w:szCs w:val="32"/>
          <w:highlight w:val="none"/>
          <w:u w:val="none"/>
        </w:rPr>
        <w:t>万元，增长</w:t>
      </w:r>
      <w:r>
        <w:rPr>
          <w:rFonts w:hint="eastAsia" w:eastAsia="仿宋_GB2312"/>
          <w:color w:val="auto"/>
          <w:sz w:val="32"/>
          <w:szCs w:val="32"/>
          <w:highlight w:val="none"/>
          <w:u w:val="none"/>
        </w:rPr>
        <w:t>41.64</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新批复自治区重大科研项目500万元一项</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w:t>
      </w:r>
      <w:r>
        <w:rPr>
          <w:rFonts w:hint="eastAsia" w:eastAsia="仿宋_GB2312"/>
          <w:color w:val="auto"/>
          <w:sz w:val="32"/>
          <w:szCs w:val="32"/>
          <w:highlight w:val="none"/>
          <w:u w:val="none"/>
          <w:lang w:val="en-US" w:eastAsia="zh-CN"/>
        </w:rPr>
        <w:t>社会保障和就业</w:t>
      </w:r>
      <w:r>
        <w:rPr>
          <w:rFonts w:eastAsia="仿宋_GB2312"/>
          <w:color w:val="auto"/>
          <w:sz w:val="32"/>
          <w:szCs w:val="32"/>
          <w:highlight w:val="none"/>
          <w:u w:val="none"/>
        </w:rPr>
        <w:t>支出</w:t>
      </w:r>
      <w:r>
        <w:rPr>
          <w:rFonts w:hint="eastAsia" w:eastAsia="仿宋_GB2312"/>
          <w:color w:val="auto"/>
          <w:sz w:val="32"/>
          <w:szCs w:val="32"/>
          <w:highlight w:val="none"/>
          <w:u w:val="none"/>
        </w:rPr>
        <w:t>10857.13</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行政事业单位离退休、抚恤，养老保险及职业年金支出</w:t>
      </w:r>
      <w:r>
        <w:rPr>
          <w:rFonts w:eastAsia="仿宋_GB2312"/>
          <w:color w:val="auto"/>
          <w:sz w:val="32"/>
          <w:szCs w:val="32"/>
          <w:highlight w:val="none"/>
          <w:u w:val="none"/>
        </w:rPr>
        <w:t xml:space="preserve">。与上年相比增加 </w:t>
      </w:r>
      <w:r>
        <w:rPr>
          <w:rFonts w:hint="eastAsia" w:eastAsia="仿宋_GB2312"/>
          <w:color w:val="auto"/>
          <w:sz w:val="32"/>
          <w:szCs w:val="32"/>
          <w:highlight w:val="none"/>
          <w:u w:val="none"/>
        </w:rPr>
        <w:t>1314.08</w:t>
      </w:r>
      <w:r>
        <w:rPr>
          <w:rFonts w:eastAsia="仿宋_GB2312"/>
          <w:color w:val="auto"/>
          <w:sz w:val="32"/>
          <w:szCs w:val="32"/>
          <w:highlight w:val="none"/>
          <w:u w:val="none"/>
        </w:rPr>
        <w:t xml:space="preserve"> 万元，增长</w:t>
      </w:r>
      <w:r>
        <w:rPr>
          <w:rFonts w:hint="eastAsia" w:eastAsia="仿宋_GB2312"/>
          <w:color w:val="auto"/>
          <w:sz w:val="32"/>
          <w:szCs w:val="32"/>
          <w:highlight w:val="none"/>
          <w:u w:val="none"/>
          <w:lang w:val="en-US" w:eastAsia="zh-CN"/>
        </w:rPr>
        <w:t>13.77</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2025年因业务需要计划招聘新职工增加</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3</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卫生健康支出</w:t>
      </w:r>
      <w:r>
        <w:rPr>
          <w:rFonts w:hint="eastAsia" w:eastAsia="仿宋_GB2312"/>
          <w:color w:val="auto"/>
          <w:sz w:val="32"/>
          <w:szCs w:val="32"/>
          <w:highlight w:val="none"/>
          <w:u w:val="none"/>
        </w:rPr>
        <w:t>315928.14</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城市综合医院卫生健康事务支出</w:t>
      </w:r>
      <w:r>
        <w:rPr>
          <w:rFonts w:eastAsia="仿宋_GB2312"/>
          <w:color w:val="auto"/>
          <w:sz w:val="32"/>
          <w:szCs w:val="32"/>
          <w:highlight w:val="none"/>
          <w:u w:val="none"/>
        </w:rPr>
        <w:t>。与上年相比增加</w:t>
      </w:r>
      <w:r>
        <w:rPr>
          <w:rFonts w:hint="eastAsia" w:eastAsia="仿宋_GB2312"/>
          <w:color w:val="auto"/>
          <w:sz w:val="32"/>
          <w:szCs w:val="32"/>
          <w:highlight w:val="none"/>
          <w:u w:val="none"/>
        </w:rPr>
        <w:t>9348.17</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3.05</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考虑到我院通过开展预住院等举措缩短住院日提高医疗服务效率，可以多提供诊疗服务带来的医疗收入增加，与之对应的会产生增加成本</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hint="default" w:eastAsia="仿宋_GB2312"/>
          <w:color w:val="auto"/>
          <w:sz w:val="32"/>
          <w:szCs w:val="32"/>
          <w:highlight w:val="none"/>
          <w:u w:val="none"/>
          <w:lang w:val="en-US" w:eastAsia="zh-CN"/>
        </w:rPr>
      </w:pP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4</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住房保障支出</w:t>
      </w:r>
      <w:r>
        <w:rPr>
          <w:rFonts w:hint="eastAsia" w:eastAsia="仿宋_GB2312"/>
          <w:color w:val="auto"/>
          <w:sz w:val="32"/>
          <w:szCs w:val="32"/>
          <w:highlight w:val="none"/>
          <w:u w:val="none"/>
        </w:rPr>
        <w:t>7742.6</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万元，主要用于</w:t>
      </w:r>
      <w:r>
        <w:rPr>
          <w:rFonts w:hint="eastAsia" w:eastAsia="仿宋_GB2312"/>
          <w:color w:val="auto"/>
          <w:sz w:val="32"/>
          <w:szCs w:val="32"/>
          <w:highlight w:val="none"/>
          <w:u w:val="none"/>
          <w:lang w:val="en-US" w:eastAsia="zh-CN"/>
        </w:rPr>
        <w:t>职工</w:t>
      </w:r>
      <w:r>
        <w:rPr>
          <w:rFonts w:hint="eastAsia" w:ascii="仿宋_GB2312" w:hAnsi="仿宋_GB2312" w:eastAsia="仿宋_GB2312"/>
          <w:color w:val="auto"/>
          <w:sz w:val="32"/>
          <w:szCs w:val="32"/>
          <w:highlight w:val="none"/>
          <w:u w:val="none"/>
          <w:lang w:val="en-US" w:eastAsia="zh-CN"/>
        </w:rPr>
        <w:t>住房公积金的缴纳</w:t>
      </w:r>
      <w:r>
        <w:rPr>
          <w:rFonts w:eastAsia="仿宋_GB2312"/>
          <w:color w:val="auto"/>
          <w:sz w:val="32"/>
          <w:szCs w:val="32"/>
          <w:highlight w:val="none"/>
          <w:u w:val="none"/>
        </w:rPr>
        <w:t xml:space="preserve">。与上年相比增加 </w:t>
      </w:r>
      <w:r>
        <w:rPr>
          <w:rFonts w:hint="eastAsia" w:eastAsia="仿宋_GB2312"/>
          <w:color w:val="auto"/>
          <w:sz w:val="32"/>
          <w:szCs w:val="32"/>
          <w:highlight w:val="none"/>
          <w:u w:val="none"/>
        </w:rPr>
        <w:t>842.6</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12.21</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2025年因业务需要计划招聘新职工增加</w:t>
      </w:r>
      <w:r>
        <w:rPr>
          <w:rFonts w:eastAsia="仿宋_GB2312"/>
          <w:color w:val="auto"/>
          <w:sz w:val="32"/>
          <w:szCs w:val="32"/>
          <w:highlight w:val="none"/>
          <w:u w:val="none"/>
        </w:rPr>
        <w:t>。</w:t>
      </w:r>
    </w:p>
    <w:p>
      <w:pPr>
        <w:pStyle w:val="8"/>
        <w:tabs>
          <w:tab w:val="left" w:pos="411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2．年终结转结余</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二、收入预算情况说明</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收入预算</w:t>
      </w:r>
      <w:r>
        <w:rPr>
          <w:rFonts w:hint="eastAsia" w:eastAsia="仿宋_GB2312"/>
          <w:color w:val="auto"/>
          <w:sz w:val="32"/>
          <w:szCs w:val="32"/>
          <w:highlight w:val="none"/>
          <w:u w:val="none"/>
          <w:lang w:val="en-US" w:eastAsia="zh-CN"/>
        </w:rPr>
        <w:t>总</w:t>
      </w:r>
      <w:r>
        <w:rPr>
          <w:rFonts w:eastAsia="仿宋_GB2312"/>
          <w:color w:val="auto"/>
          <w:sz w:val="32"/>
          <w:szCs w:val="32"/>
          <w:highlight w:val="none"/>
          <w:u w:val="none"/>
        </w:rPr>
        <w:t>计</w:t>
      </w:r>
      <w:r>
        <w:rPr>
          <w:rFonts w:eastAsia="仿宋_GB2312"/>
          <w:color w:val="auto"/>
          <w:sz w:val="32"/>
          <w:szCs w:val="32"/>
          <w:highlight w:val="none"/>
          <w:u w:val="none"/>
        </w:rPr>
        <w:tab/>
      </w:r>
      <w:r>
        <w:rPr>
          <w:rFonts w:hint="eastAsia" w:eastAsia="仿宋_GB2312"/>
          <w:color w:val="auto"/>
          <w:sz w:val="32"/>
          <w:szCs w:val="32"/>
          <w:highlight w:val="none"/>
          <w:u w:val="none"/>
        </w:rPr>
        <w:t>335685.46</w:t>
      </w:r>
      <w:r>
        <w:rPr>
          <w:rFonts w:eastAsia="仿宋_GB2312"/>
          <w:color w:val="auto"/>
          <w:sz w:val="32"/>
          <w:szCs w:val="32"/>
          <w:highlight w:val="none"/>
          <w:u w:val="none"/>
        </w:rPr>
        <w:t>万元，包括本年收入</w:t>
      </w:r>
      <w:r>
        <w:rPr>
          <w:rFonts w:hint="eastAsia" w:eastAsia="仿宋_GB2312"/>
          <w:color w:val="auto"/>
          <w:sz w:val="32"/>
          <w:szCs w:val="32"/>
          <w:highlight w:val="none"/>
          <w:u w:val="none"/>
        </w:rPr>
        <w:t>333270.40</w:t>
      </w:r>
      <w:r>
        <w:rPr>
          <w:rFonts w:eastAsia="仿宋_GB2312"/>
          <w:color w:val="auto"/>
          <w:sz w:val="32"/>
          <w:szCs w:val="32"/>
          <w:highlight w:val="none"/>
          <w:u w:val="none"/>
        </w:rPr>
        <w:t>万元，上年结转结余</w:t>
      </w:r>
      <w:r>
        <w:rPr>
          <w:rFonts w:hint="eastAsia" w:eastAsia="仿宋_GB2312"/>
          <w:color w:val="auto"/>
          <w:sz w:val="32"/>
          <w:szCs w:val="32"/>
          <w:highlight w:val="none"/>
          <w:u w:val="none"/>
        </w:rPr>
        <w:t>2415.06</w:t>
      </w:r>
      <w:r>
        <w:rPr>
          <w:rFonts w:eastAsia="仿宋_GB2312"/>
          <w:color w:val="auto"/>
          <w:sz w:val="32"/>
          <w:szCs w:val="32"/>
          <w:highlight w:val="none"/>
          <w:u w:val="none"/>
        </w:rPr>
        <w:t>万元。其中：</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本年一般公共预算收入</w:t>
      </w:r>
      <w:r>
        <w:rPr>
          <w:rFonts w:hint="eastAsia" w:eastAsia="仿宋_GB2312"/>
          <w:color w:val="auto"/>
          <w:sz w:val="32"/>
          <w:szCs w:val="32"/>
          <w:highlight w:val="none"/>
          <w:u w:val="none"/>
        </w:rPr>
        <w:t>13270.40</w:t>
      </w:r>
      <w:r>
        <w:rPr>
          <w:rFonts w:eastAsia="仿宋_GB2312"/>
          <w:color w:val="auto"/>
          <w:sz w:val="32"/>
          <w:szCs w:val="32"/>
          <w:highlight w:val="none"/>
          <w:u w:val="none"/>
        </w:rPr>
        <w:t xml:space="preserve">万元，占 </w:t>
      </w:r>
      <w:r>
        <w:rPr>
          <w:rFonts w:hint="eastAsia" w:eastAsia="仿宋_GB2312"/>
          <w:color w:val="auto"/>
          <w:sz w:val="32"/>
          <w:szCs w:val="32"/>
          <w:highlight w:val="none"/>
          <w:u w:val="none"/>
          <w:lang w:val="en-US" w:eastAsia="zh-CN"/>
        </w:rPr>
        <w:t>3.95</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本年事业收入</w:t>
      </w:r>
      <w:r>
        <w:rPr>
          <w:rFonts w:hint="eastAsia" w:eastAsia="仿宋_GB2312"/>
          <w:color w:val="auto"/>
          <w:sz w:val="32"/>
          <w:szCs w:val="32"/>
          <w:highlight w:val="none"/>
          <w:u w:val="none"/>
        </w:rPr>
        <w:t>320000.00</w:t>
      </w:r>
      <w:r>
        <w:rPr>
          <w:rFonts w:eastAsia="仿宋_GB2312"/>
          <w:color w:val="auto"/>
          <w:sz w:val="32"/>
          <w:szCs w:val="32"/>
          <w:highlight w:val="none"/>
          <w:u w:val="none"/>
        </w:rPr>
        <w:t xml:space="preserve">万元，占 </w:t>
      </w:r>
      <w:r>
        <w:rPr>
          <w:rFonts w:hint="eastAsia" w:eastAsia="仿宋_GB2312"/>
          <w:color w:val="auto"/>
          <w:sz w:val="32"/>
          <w:szCs w:val="32"/>
          <w:highlight w:val="none"/>
          <w:u w:val="none"/>
          <w:lang w:val="en-US" w:eastAsia="zh-CN"/>
        </w:rPr>
        <w:t>95.33</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上年结转结余的一般公共预算收入</w:t>
      </w:r>
      <w:r>
        <w:rPr>
          <w:rFonts w:hint="eastAsia" w:eastAsia="仿宋_GB2312"/>
          <w:color w:val="auto"/>
          <w:sz w:val="32"/>
          <w:szCs w:val="32"/>
          <w:highlight w:val="none"/>
          <w:u w:val="none"/>
        </w:rPr>
        <w:t>2415.06</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0.72</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上年结转结余的单位资金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p>
    <w:p>
      <w:pPr>
        <w:tabs>
          <w:tab w:val="left" w:pos="1334"/>
        </w:tabs>
        <w:bidi w:val="0"/>
        <w:jc w:val="left"/>
        <w:rPr>
          <w:rFonts w:hint="eastAsia" w:eastAsia="宋体"/>
          <w:u w:val="none"/>
          <w:lang w:eastAsia="zh-CN"/>
        </w:rPr>
      </w:pPr>
    </w:p>
    <w:p>
      <w:pPr>
        <w:pStyle w:val="18"/>
        <w:tabs>
          <w:tab w:val="left" w:pos="0"/>
        </w:tabs>
        <w:ind w:left="0" w:leftChars="0" w:firstLine="0"/>
        <w:jc w:val="center"/>
        <w:rPr>
          <w:rFonts w:hint="eastAsia" w:eastAsia="仿宋_GB2312"/>
          <w:color w:val="auto"/>
          <w:sz w:val="32"/>
          <w:szCs w:val="32"/>
          <w:highlight w:val="none"/>
          <w:u w:val="none"/>
          <w:lang w:eastAsia="zh-CN"/>
        </w:rPr>
      </w:pPr>
      <w:r>
        <w:rPr>
          <w:color w:val="auto"/>
          <w:sz w:val="32"/>
          <w:u w:val="none"/>
        </w:rPr>
        <mc:AlternateContent>
          <mc:Choice Requires="wps">
            <w:drawing>
              <wp:anchor distT="0" distB="0" distL="114300" distR="114300" simplePos="0" relativeHeight="251659264" behindDoc="0" locked="0" layoutInCell="1" allowOverlap="1">
                <wp:simplePos x="0" y="0"/>
                <wp:positionH relativeFrom="column">
                  <wp:posOffset>4366895</wp:posOffset>
                </wp:positionH>
                <wp:positionV relativeFrom="paragraph">
                  <wp:posOffset>83185</wp:posOffset>
                </wp:positionV>
                <wp:extent cx="935355" cy="242570"/>
                <wp:effectExtent l="4445" t="4445" r="12700" b="19685"/>
                <wp:wrapNone/>
                <wp:docPr id="6" name="文本框 6"/>
                <wp:cNvGraphicFramePr/>
                <a:graphic xmlns:a="http://schemas.openxmlformats.org/drawingml/2006/main">
                  <a:graphicData uri="http://schemas.microsoft.com/office/word/2010/wordprocessingShape">
                    <wps:wsp>
                      <wps:cNvSpPr txBox="1"/>
                      <wps:spPr>
                        <a:xfrm>
                          <a:off x="5154295" y="3289935"/>
                          <a:ext cx="935355" cy="2425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85pt;margin-top:6.55pt;height:19.1pt;width:73.65pt;z-index:251659264;mso-width-relative:page;mso-height-relative:page;" fillcolor="#FFFFFF [3201]" filled="t" stroked="t" coordsize="21600,21600" o:gfxdata="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5WYek1gAAAAkBAAAPAAAAAAAAAAEAIAAAACIAAABkcnMvZG93bnJldi54bWxQSwECFAAU&#10;AAAACACHTuJAL1UGH2UCAADCBAAADgAAAAAAAAABACAAAAAlAQAAZHJzL2Uyb0RvYy54bWxQSwUG&#10;AAAAAAYABgBZAQAA/AUAAAAA&#10;">
                <v:fill on="t" focussize="0,0"/>
                <v:stroke weight="0.5pt" color="#000000 [3204]" joinstyle="round"/>
                <v:imagedata o:title=""/>
                <o:lock v:ext="edit" aspectratio="f"/>
                <v:textbox>
                  <w:txbxContent>
                    <w:p>
                      <w:pPr>
                        <w:rPr>
                          <w:rFonts w:hint="default" w:eastAsia="宋体"/>
                          <w:lang w:val="en-US" w:eastAsia="zh-CN"/>
                        </w:rPr>
                      </w:pPr>
                      <w:r>
                        <w:rPr>
                          <w:rFonts w:hint="eastAsia" w:eastAsia="宋体"/>
                          <w:lang w:val="en-US" w:eastAsia="zh-CN"/>
                        </w:rPr>
                        <w:t>单位：万元</w:t>
                      </w:r>
                    </w:p>
                  </w:txbxContent>
                </v:textbox>
              </v:shape>
            </w:pict>
          </mc:Fallback>
        </mc:AlternateContent>
      </w:r>
      <w:r>
        <w:rPr>
          <w:rFonts w:hint="eastAsia" w:eastAsia="仿宋_GB2312"/>
          <w:color w:val="auto"/>
          <w:sz w:val="32"/>
          <w:szCs w:val="32"/>
          <w:highlight w:val="none"/>
          <w:u w:val="none"/>
          <w:lang w:eastAsia="zh-CN"/>
        </w:rPr>
        <w:drawing>
          <wp:inline distT="0" distB="0" distL="114300" distR="114300">
            <wp:extent cx="5123180" cy="2600960"/>
            <wp:effectExtent l="4445" t="4445" r="15875" b="234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18"/>
        <w:tabs>
          <w:tab w:val="left" w:pos="0"/>
        </w:tabs>
        <w:ind w:left="0" w:leftChars="0" w:firstLine="0"/>
        <w:jc w:val="center"/>
        <w:rPr>
          <w:rFonts w:hint="eastAsia" w:ascii="Times New Roman" w:hAnsi="Times New Roman" w:eastAsia="仿宋_GB2312" w:cs="仿宋"/>
          <w:color w:val="auto"/>
          <w:sz w:val="32"/>
          <w:szCs w:val="32"/>
          <w:highlight w:val="none"/>
          <w:u w:val="none"/>
          <w:lang w:eastAsia="zh-CN"/>
        </w:rPr>
      </w:pPr>
      <w:r>
        <w:rPr>
          <w:rFonts w:eastAsia="仿宋_GB2312"/>
          <w:color w:val="auto"/>
          <w:sz w:val="32"/>
          <w:szCs w:val="32"/>
          <w:highlight w:val="none"/>
          <w:u w:val="none"/>
        </w:rPr>
        <w:t>图1.收入预算图</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三、支出预算情况说明</w:t>
      </w:r>
    </w:p>
    <w:p>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 xml:space="preserve">支出预算合计 </w:t>
      </w:r>
      <w:r>
        <w:rPr>
          <w:rFonts w:hint="eastAsia" w:eastAsia="仿宋_GB2312"/>
          <w:color w:val="auto"/>
          <w:sz w:val="32"/>
          <w:szCs w:val="32"/>
          <w:highlight w:val="none"/>
          <w:u w:val="none"/>
        </w:rPr>
        <w:t>335685.46</w:t>
      </w:r>
      <w:r>
        <w:rPr>
          <w:rFonts w:eastAsia="仿宋_GB2312"/>
          <w:color w:val="auto"/>
          <w:sz w:val="32"/>
          <w:szCs w:val="32"/>
          <w:highlight w:val="none"/>
          <w:u w:val="none"/>
        </w:rPr>
        <w:t xml:space="preserve"> 万元，其中</w:t>
      </w:r>
      <w:r>
        <w:rPr>
          <w:rFonts w:hint="eastAsia" w:eastAsia="仿宋_GB2312"/>
          <w:color w:val="auto"/>
          <w:sz w:val="32"/>
          <w:szCs w:val="32"/>
          <w:highlight w:val="none"/>
          <w:u w:val="none"/>
          <w:lang w:eastAsia="zh-CN"/>
        </w:rPr>
        <w:t>：</w:t>
      </w:r>
    </w:p>
    <w:p>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基本支出</w:t>
      </w:r>
      <w:r>
        <w:rPr>
          <w:rFonts w:hint="eastAsia" w:eastAsia="仿宋_GB2312"/>
          <w:color w:val="auto"/>
          <w:sz w:val="32"/>
          <w:szCs w:val="32"/>
          <w:highlight w:val="none"/>
          <w:u w:val="none"/>
        </w:rPr>
        <w:t>330337.8</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98.41</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项目支出</w:t>
      </w:r>
      <w:r>
        <w:rPr>
          <w:rFonts w:hint="eastAsia" w:eastAsia="仿宋_GB2312"/>
          <w:color w:val="auto"/>
          <w:sz w:val="32"/>
          <w:szCs w:val="32"/>
          <w:highlight w:val="none"/>
          <w:u w:val="none"/>
        </w:rPr>
        <w:t>5347.66</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1.59</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ascii="Times New Roman" w:hAnsi="Times New Roman" w:eastAsia="仿宋_GB2312" w:cs="仿宋"/>
          <w:color w:val="auto"/>
          <w:sz w:val="32"/>
          <w:szCs w:val="32"/>
          <w:highlight w:val="none"/>
          <w:u w:val="none"/>
        </w:rPr>
      </w:pPr>
      <w:r>
        <w:rPr>
          <w:rFonts w:eastAsia="仿宋_GB2312"/>
          <w:color w:val="auto"/>
          <w:sz w:val="32"/>
          <w:szCs w:val="32"/>
          <w:highlight w:val="none"/>
          <w:u w:val="none"/>
        </w:rPr>
        <w:t>事业单位经营支出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上缴上级支出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对附属单位补助支出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pPr>
        <w:pStyle w:val="18"/>
        <w:ind w:left="0" w:leftChars="0" w:firstLine="220"/>
        <w:jc w:val="center"/>
        <w:rPr>
          <w:rFonts w:hint="default" w:eastAsia="仿宋_GB2312"/>
          <w:color w:val="auto"/>
          <w:sz w:val="32"/>
          <w:szCs w:val="32"/>
          <w:highlight w:val="none"/>
          <w:u w:val="none"/>
        </w:rPr>
      </w:pPr>
    </w:p>
    <w:p>
      <w:pPr>
        <w:pStyle w:val="18"/>
        <w:ind w:left="0" w:leftChars="0" w:firstLine="220"/>
        <w:jc w:val="center"/>
        <w:rPr>
          <w:rFonts w:hint="eastAsia" w:eastAsia="仿宋_GB2312"/>
          <w:color w:val="auto"/>
          <w:sz w:val="32"/>
          <w:szCs w:val="32"/>
          <w:highlight w:val="none"/>
          <w:u w:val="none"/>
          <w:lang w:eastAsia="zh-CN"/>
        </w:rPr>
      </w:pPr>
      <w:r>
        <w:rPr>
          <w:rFonts w:hint="eastAsia" w:eastAsia="仿宋_GB2312"/>
          <w:color w:val="auto"/>
          <w:sz w:val="32"/>
          <w:szCs w:val="32"/>
          <w:highlight w:val="none"/>
          <w:u w:val="none"/>
          <w:lang w:eastAsia="zh-CN"/>
        </w:rPr>
        <w:drawing>
          <wp:inline distT="0" distB="0" distL="114300" distR="114300">
            <wp:extent cx="5087620" cy="2807970"/>
            <wp:effectExtent l="4445" t="4445" r="13335"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color w:val="auto"/>
          <w:sz w:val="32"/>
          <w:u w:val="none"/>
        </w:rPr>
        <mc:AlternateContent>
          <mc:Choice Requires="wps">
            <w:drawing>
              <wp:anchor distT="0" distB="0" distL="114300" distR="114300" simplePos="0" relativeHeight="251660288" behindDoc="0" locked="0" layoutInCell="1" allowOverlap="1">
                <wp:simplePos x="0" y="0"/>
                <wp:positionH relativeFrom="column">
                  <wp:posOffset>4253865</wp:posOffset>
                </wp:positionH>
                <wp:positionV relativeFrom="paragraph">
                  <wp:posOffset>65405</wp:posOffset>
                </wp:positionV>
                <wp:extent cx="1048385" cy="278130"/>
                <wp:effectExtent l="4445" t="4445" r="13970" b="22225"/>
                <wp:wrapNone/>
                <wp:docPr id="8" name="文本框 8"/>
                <wp:cNvGraphicFramePr/>
                <a:graphic xmlns:a="http://schemas.openxmlformats.org/drawingml/2006/main">
                  <a:graphicData uri="http://schemas.microsoft.com/office/word/2010/wordprocessingShape">
                    <wps:wsp>
                      <wps:cNvSpPr txBox="1"/>
                      <wps:spPr>
                        <a:xfrm>
                          <a:off x="4608830" y="3694430"/>
                          <a:ext cx="1048385" cy="2781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95pt;margin-top:5.15pt;height:21.9pt;width:82.55pt;z-index:251660288;mso-width-relative:page;mso-height-relative:page;" fillcolor="#FFFFFF [3201]" filled="t" stroked="t" coordsize="21600,21600" o:gfxdata="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9aJLW1gAAAAkBAAAPAAAAAAAAAAEAIAAAACIAAABkcnMvZG93bnJldi54bWxQSwECFAAU&#10;AAAACACHTuJAqF4gPmUCAADDBAAADgAAAAAAAAABACAAAAAlAQAAZHJzL2Uyb0RvYy54bWxQSwUG&#10;AAAAAAYABgBZAQAA/AUAAAAA&#10;">
                <v:fill on="t" focussize="0,0"/>
                <v:stroke weight="0.5pt" color="#000000 [3204]" joinstyle="round"/>
                <v:imagedata o:title=""/>
                <o:lock v:ext="edit" aspectratio="f"/>
                <v:textbox>
                  <w:txbxContent>
                    <w:p>
                      <w:pPr>
                        <w:rPr>
                          <w:rFonts w:hint="default" w:eastAsia="宋体"/>
                          <w:lang w:val="en-US" w:eastAsia="zh-CN"/>
                        </w:rPr>
                      </w:pPr>
                      <w:r>
                        <w:rPr>
                          <w:rFonts w:hint="eastAsia" w:eastAsia="宋体"/>
                          <w:lang w:val="en-US" w:eastAsia="zh-CN"/>
                        </w:rPr>
                        <w:t>单位：万元</w:t>
                      </w:r>
                    </w:p>
                  </w:txbxContent>
                </v:textbox>
              </v:shape>
            </w:pict>
          </mc:Fallback>
        </mc:AlternateContent>
      </w:r>
    </w:p>
    <w:p>
      <w:pPr>
        <w:pStyle w:val="18"/>
        <w:ind w:left="0" w:leftChars="0" w:firstLine="0" w:firstLineChars="0"/>
        <w:jc w:val="center"/>
        <w:rPr>
          <w:rFonts w:hint="default"/>
          <w:color w:val="auto"/>
          <w:highlight w:val="none"/>
          <w:u w:val="none"/>
        </w:rPr>
      </w:pPr>
      <w:r>
        <w:rPr>
          <w:rFonts w:eastAsia="仿宋_GB2312"/>
          <w:color w:val="auto"/>
          <w:sz w:val="32"/>
          <w:szCs w:val="32"/>
          <w:highlight w:val="none"/>
          <w:u w:val="none"/>
        </w:rPr>
        <w:t>图2.支出预算图</w:t>
      </w:r>
    </w:p>
    <w:p>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p>
    <w:p>
      <w:pPr>
        <w:spacing w:line="600" w:lineRule="exact"/>
        <w:ind w:left="6" w:leftChars="0" w:firstLine="633" w:firstLineChars="198"/>
        <w:outlineLvl w:val="2"/>
        <w:rPr>
          <w:rFonts w:eastAsia="黑体" w:cs="黑体"/>
          <w:color w:val="auto"/>
          <w:sz w:val="32"/>
          <w:szCs w:val="36"/>
          <w:highlight w:val="none"/>
          <w:u w:val="none"/>
        </w:rPr>
      </w:pPr>
      <w:r>
        <w:rPr>
          <w:rFonts w:hint="eastAsia" w:eastAsia="黑体" w:cs="黑体"/>
          <w:color w:val="auto"/>
          <w:sz w:val="32"/>
          <w:szCs w:val="36"/>
          <w:highlight w:val="none"/>
          <w:u w:val="none"/>
        </w:rPr>
        <w:t>四、财政拨款收支预算总体情况说明</w:t>
      </w:r>
    </w:p>
    <w:p>
      <w:pPr>
        <w:pStyle w:val="8"/>
        <w:tabs>
          <w:tab w:val="left" w:pos="2671"/>
          <w:tab w:val="left" w:pos="5000"/>
          <w:tab w:val="left" w:pos="6190"/>
        </w:tabs>
        <w:spacing w:after="0" w:line="600" w:lineRule="exact"/>
        <w:ind w:left="19" w:leftChars="9" w:firstLine="617" w:firstLineChars="193"/>
        <w:rPr>
          <w:rFonts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年度财政拨款收、支总预算</w:t>
      </w:r>
      <w:r>
        <w:rPr>
          <w:rFonts w:hint="eastAsia" w:eastAsia="仿宋_GB2312"/>
          <w:color w:val="auto"/>
          <w:sz w:val="32"/>
          <w:szCs w:val="32"/>
          <w:highlight w:val="none"/>
          <w:u w:val="none"/>
          <w:lang w:val="en-US" w:eastAsia="zh-CN"/>
        </w:rPr>
        <w:t xml:space="preserve">       15685.46</w:t>
      </w:r>
      <w:r>
        <w:rPr>
          <w:rFonts w:eastAsia="仿宋_GB2312"/>
          <w:color w:val="auto"/>
          <w:sz w:val="32"/>
          <w:szCs w:val="32"/>
          <w:highlight w:val="none"/>
          <w:u w:val="none"/>
        </w:rPr>
        <w:t>万元。与上年相比，财政拨款收、支总计各增加</w:t>
      </w:r>
      <w:r>
        <w:rPr>
          <w:rFonts w:hint="eastAsia" w:eastAsia="仿宋_GB2312"/>
          <w:color w:val="auto"/>
          <w:sz w:val="32"/>
          <w:szCs w:val="32"/>
          <w:highlight w:val="none"/>
          <w:u w:val="none"/>
        </w:rPr>
        <w:t>3949.56</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33.65</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hint="eastAsia" w:ascii="仿宋_GB2312" w:hAnsi="仿宋_GB2312" w:eastAsia="仿宋_GB2312"/>
          <w:color w:val="auto"/>
          <w:sz w:val="32"/>
          <w:szCs w:val="32"/>
          <w:highlight w:val="none"/>
          <w:u w:val="none"/>
          <w:lang w:val="en-US"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2025年财政拨付我院定向补助增加</w:t>
      </w:r>
      <w:r>
        <w:rPr>
          <w:rFonts w:eastAsia="仿宋_GB2312"/>
          <w:color w:val="auto"/>
          <w:sz w:val="32"/>
          <w:szCs w:val="32"/>
          <w:highlight w:val="none"/>
          <w:u w:val="none"/>
        </w:rPr>
        <w:t>。</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五、一般公共预算支出预算情况说明</w:t>
      </w:r>
    </w:p>
    <w:p>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一般公共预算财政拨款支出预算</w:t>
      </w:r>
      <w:r>
        <w:rPr>
          <w:rFonts w:hint="eastAsia" w:eastAsia="仿宋_GB2312"/>
          <w:color w:val="auto"/>
          <w:sz w:val="32"/>
          <w:szCs w:val="32"/>
          <w:highlight w:val="none"/>
          <w:u w:val="none"/>
          <w:lang w:val="en-US" w:eastAsia="zh-CN"/>
        </w:rPr>
        <w:t>15685.46</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1602.09</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11.38</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rPr>
        <w:t>具体情况如下：</w:t>
      </w:r>
    </w:p>
    <w:p>
      <w:pPr>
        <w:adjustRightInd w:val="0"/>
        <w:snapToGrid w:val="0"/>
        <w:spacing w:line="560" w:lineRule="exact"/>
        <w:ind w:firstLine="480" w:firstLineChars="15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（一）社会保障和就业类支出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eastAsia="仿宋_GB2312"/>
          <w:color w:val="auto"/>
          <w:sz w:val="32"/>
          <w:szCs w:val="32"/>
          <w:u w:val="none"/>
        </w:rPr>
        <w:t>社会保障和就业类支出</w:t>
      </w:r>
      <w:r>
        <w:rPr>
          <w:rFonts w:hint="eastAsia" w:eastAsia="仿宋_GB2312"/>
          <w:color w:val="auto"/>
          <w:sz w:val="32"/>
          <w:szCs w:val="32"/>
          <w:u w:val="none"/>
          <w:lang w:eastAsia="zh-CN"/>
        </w:rPr>
        <w:t>（</w:t>
      </w:r>
      <w:r>
        <w:rPr>
          <w:rFonts w:hint="eastAsia" w:eastAsia="仿宋_GB2312"/>
          <w:color w:val="auto"/>
          <w:sz w:val="32"/>
          <w:szCs w:val="32"/>
          <w:u w:val="none"/>
          <w:lang w:val="en-US" w:eastAsia="zh-CN"/>
        </w:rPr>
        <w:t>类</w:t>
      </w:r>
      <w:r>
        <w:rPr>
          <w:rFonts w:hint="eastAsia" w:eastAsia="仿宋_GB2312"/>
          <w:color w:val="auto"/>
          <w:sz w:val="32"/>
          <w:szCs w:val="32"/>
          <w:u w:val="none"/>
          <w:lang w:eastAsia="zh-CN"/>
        </w:rPr>
        <w:t>）</w:t>
      </w:r>
      <w:r>
        <w:rPr>
          <w:rFonts w:hint="eastAsia" w:eastAsia="仿宋_GB2312"/>
          <w:color w:val="auto"/>
          <w:sz w:val="32"/>
          <w:szCs w:val="32"/>
          <w:u w:val="none"/>
        </w:rPr>
        <w:t>年初预算数为</w:t>
      </w:r>
      <w:r>
        <w:rPr>
          <w:rFonts w:hint="eastAsia" w:eastAsia="仿宋_GB2312"/>
          <w:color w:val="auto"/>
          <w:sz w:val="32"/>
          <w:szCs w:val="32"/>
          <w:u w:val="none"/>
          <w:lang w:val="en-US" w:eastAsia="zh-CN"/>
        </w:rPr>
        <w:t>1621.9</w:t>
      </w:r>
      <w:r>
        <w:rPr>
          <w:rFonts w:hint="eastAsia" w:ascii="仿宋_GB2312" w:eastAsia="仿宋_GB2312"/>
          <w:color w:val="auto"/>
          <w:sz w:val="32"/>
          <w:szCs w:val="32"/>
          <w:u w:val="none"/>
        </w:rPr>
        <w:t>万元，与上年相比增加</w:t>
      </w:r>
      <w:r>
        <w:rPr>
          <w:rFonts w:hint="eastAsia" w:ascii="仿宋_GB2312" w:eastAsia="仿宋_GB2312"/>
          <w:color w:val="auto"/>
          <w:sz w:val="32"/>
          <w:szCs w:val="32"/>
          <w:u w:val="none"/>
          <w:lang w:val="en-US" w:eastAsia="zh-CN"/>
        </w:rPr>
        <w:t>111.19</w:t>
      </w:r>
      <w:r>
        <w:rPr>
          <w:rFonts w:hint="eastAsia" w:ascii="仿宋_GB2312" w:eastAsia="仿宋_GB2312"/>
          <w:color w:val="auto"/>
          <w:sz w:val="32"/>
          <w:szCs w:val="32"/>
          <w:u w:val="none"/>
        </w:rPr>
        <w:t>万元，增长率为</w:t>
      </w:r>
      <w:r>
        <w:rPr>
          <w:rFonts w:hint="eastAsia" w:ascii="仿宋_GB2312" w:eastAsia="仿宋_GB2312"/>
          <w:color w:val="auto"/>
          <w:sz w:val="32"/>
          <w:szCs w:val="32"/>
          <w:u w:val="none"/>
          <w:lang w:val="en-US" w:eastAsia="zh-CN"/>
        </w:rPr>
        <w:t>7.36</w:t>
      </w:r>
      <w:r>
        <w:rPr>
          <w:rFonts w:hint="eastAsia" w:ascii="仿宋_GB2312" w:eastAsia="仿宋_GB2312"/>
          <w:color w:val="auto"/>
          <w:sz w:val="32"/>
          <w:szCs w:val="32"/>
          <w:u w:val="none"/>
        </w:rPr>
        <w:t>%，其中：</w:t>
      </w:r>
    </w:p>
    <w:p>
      <w:pPr>
        <w:numPr>
          <w:ilvl w:val="0"/>
          <w:numId w:val="0"/>
        </w:numPr>
        <w:adjustRightInd w:val="0"/>
        <w:snapToGrid w:val="0"/>
        <w:spacing w:line="560" w:lineRule="exact"/>
        <w:ind w:firstLine="640" w:firstLineChars="200"/>
        <w:rPr>
          <w:rFonts w:ascii="仿宋_GB2312" w:eastAsia="仿宋_GB2312"/>
          <w:color w:val="auto"/>
          <w:sz w:val="32"/>
          <w:szCs w:val="32"/>
          <w:u w:val="none"/>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人力资源和社会保障管理事务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中引进人才费用</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116.36</w:t>
      </w:r>
      <w:r>
        <w:rPr>
          <w:rFonts w:hint="eastAsia" w:ascii="仿宋_GB2312" w:eastAsia="仿宋_GB2312"/>
          <w:color w:val="auto"/>
          <w:sz w:val="32"/>
          <w:szCs w:val="32"/>
          <w:u w:val="none"/>
        </w:rPr>
        <w:t>万元，比上年</w:t>
      </w:r>
      <w:r>
        <w:rPr>
          <w:rFonts w:hint="eastAsia" w:ascii="仿宋_GB2312" w:eastAsia="仿宋_GB2312"/>
          <w:color w:val="auto"/>
          <w:sz w:val="32"/>
          <w:szCs w:val="32"/>
          <w:u w:val="none"/>
          <w:lang w:val="en-US" w:eastAsia="zh-CN"/>
        </w:rPr>
        <w:t>增加78.88</w:t>
      </w:r>
      <w:r>
        <w:rPr>
          <w:rFonts w:hint="eastAsia" w:ascii="仿宋_GB2312" w:eastAsia="仿宋_GB2312"/>
          <w:color w:val="auto"/>
          <w:sz w:val="32"/>
          <w:szCs w:val="32"/>
          <w:u w:val="none"/>
        </w:rPr>
        <w:t>万元。</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2.行政事业单位养老支出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中事业单位离退休</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1505.54</w:t>
      </w:r>
      <w:r>
        <w:rPr>
          <w:rFonts w:hint="eastAsia" w:ascii="仿宋_GB2312" w:eastAsia="仿宋_GB2312"/>
          <w:color w:val="auto"/>
          <w:sz w:val="32"/>
          <w:szCs w:val="32"/>
          <w:u w:val="none"/>
        </w:rPr>
        <w:t>万元，与上年相比增加</w:t>
      </w:r>
      <w:r>
        <w:rPr>
          <w:rFonts w:hint="eastAsia" w:ascii="仿宋_GB2312" w:eastAsia="仿宋_GB2312"/>
          <w:color w:val="auto"/>
          <w:sz w:val="32"/>
          <w:szCs w:val="32"/>
          <w:u w:val="none"/>
          <w:lang w:val="en-US" w:eastAsia="zh-CN"/>
        </w:rPr>
        <w:t>32.31</w:t>
      </w:r>
      <w:r>
        <w:rPr>
          <w:rFonts w:hint="eastAsia" w:ascii="仿宋_GB2312" w:eastAsia="仿宋_GB2312"/>
          <w:color w:val="auto"/>
          <w:sz w:val="32"/>
          <w:szCs w:val="32"/>
          <w:u w:val="none"/>
        </w:rPr>
        <w:t>万元，增长率为</w:t>
      </w:r>
      <w:r>
        <w:rPr>
          <w:rFonts w:hint="eastAsia" w:ascii="仿宋_GB2312" w:eastAsia="仿宋_GB2312"/>
          <w:color w:val="auto"/>
          <w:sz w:val="32"/>
          <w:szCs w:val="32"/>
          <w:u w:val="none"/>
          <w:lang w:val="en-US" w:eastAsia="zh-CN"/>
        </w:rPr>
        <w:t>2.19</w:t>
      </w:r>
      <w:r>
        <w:rPr>
          <w:rFonts w:hint="eastAsia" w:ascii="仿宋_GB2312" w:eastAsia="仿宋_GB2312"/>
          <w:color w:val="auto"/>
          <w:sz w:val="32"/>
          <w:szCs w:val="32"/>
          <w:u w:val="none"/>
        </w:rPr>
        <w:t>%，财政根据医院离退休人员测算供给拨款。</w:t>
      </w:r>
    </w:p>
    <w:p>
      <w:pPr>
        <w:adjustRightInd w:val="0"/>
        <w:snapToGrid w:val="0"/>
        <w:spacing w:line="560" w:lineRule="exact"/>
        <w:ind w:left="64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（二）卫生健康支出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卫生健康支出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类</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年初预算数为</w:t>
      </w:r>
      <w:r>
        <w:rPr>
          <w:rFonts w:hint="eastAsia" w:ascii="仿宋_GB2312" w:eastAsia="仿宋_GB2312"/>
          <w:color w:val="auto"/>
          <w:sz w:val="32"/>
          <w:szCs w:val="32"/>
          <w:u w:val="none"/>
          <w:lang w:val="en-US" w:eastAsia="zh-CN"/>
        </w:rPr>
        <w:t>12905.97</w:t>
      </w:r>
      <w:r>
        <w:rPr>
          <w:rFonts w:hint="eastAsia" w:ascii="仿宋_GB2312" w:eastAsia="仿宋_GB2312"/>
          <w:color w:val="auto"/>
          <w:sz w:val="32"/>
          <w:szCs w:val="32"/>
          <w:u w:val="none"/>
        </w:rPr>
        <w:t>万元，</w:t>
      </w:r>
      <w:r>
        <w:rPr>
          <w:rFonts w:hint="eastAsia" w:eastAsia="仿宋_GB2312"/>
          <w:color w:val="auto"/>
          <w:sz w:val="32"/>
          <w:szCs w:val="32"/>
          <w:u w:val="none"/>
        </w:rPr>
        <w:t>与上年相比增加</w:t>
      </w:r>
      <w:r>
        <w:rPr>
          <w:rFonts w:hint="eastAsia" w:eastAsia="仿宋_GB2312"/>
          <w:color w:val="auto"/>
          <w:sz w:val="32"/>
          <w:szCs w:val="32"/>
          <w:u w:val="none"/>
          <w:lang w:val="en-US" w:eastAsia="zh-CN"/>
        </w:rPr>
        <w:t>1145.16</w:t>
      </w:r>
      <w:r>
        <w:rPr>
          <w:rFonts w:hint="eastAsia" w:eastAsia="仿宋_GB2312"/>
          <w:color w:val="auto"/>
          <w:sz w:val="32"/>
          <w:szCs w:val="32"/>
          <w:u w:val="none"/>
        </w:rPr>
        <w:t>万元</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增加率为</w:t>
      </w:r>
      <w:r>
        <w:rPr>
          <w:rFonts w:hint="eastAsia" w:ascii="仿宋_GB2312" w:eastAsia="仿宋_GB2312"/>
          <w:color w:val="auto"/>
          <w:sz w:val="32"/>
          <w:szCs w:val="32"/>
          <w:u w:val="none"/>
          <w:lang w:val="en-US" w:eastAsia="zh-CN"/>
        </w:rPr>
        <w:t>9.74</w:t>
      </w:r>
      <w:r>
        <w:rPr>
          <w:rFonts w:hint="eastAsia" w:ascii="仿宋_GB2312" w:eastAsia="仿宋_GB2312"/>
          <w:color w:val="auto"/>
          <w:sz w:val="32"/>
          <w:szCs w:val="32"/>
          <w:u w:val="none"/>
        </w:rPr>
        <w:t>%，其中：</w:t>
      </w:r>
    </w:p>
    <w:p>
      <w:pPr>
        <w:numPr>
          <w:ilvl w:val="0"/>
          <w:numId w:val="0"/>
        </w:numPr>
        <w:adjustRightInd w:val="0"/>
        <w:snapToGrid w:val="0"/>
        <w:spacing w:line="560" w:lineRule="exact"/>
        <w:ind w:firstLine="640" w:firstLineChars="200"/>
        <w:rPr>
          <w:rFonts w:hint="eastAsia" w:ascii="仿宋_GB2312" w:eastAsia="仿宋_GB2312"/>
          <w:color w:val="auto"/>
          <w:sz w:val="32"/>
          <w:szCs w:val="32"/>
          <w:u w:val="none"/>
          <w:lang w:eastAsia="zh-CN"/>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公立医院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中综合医院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8832.26</w:t>
      </w:r>
      <w:r>
        <w:rPr>
          <w:rFonts w:hint="eastAsia" w:ascii="仿宋_GB2312" w:eastAsia="仿宋_GB2312"/>
          <w:color w:val="auto"/>
          <w:sz w:val="32"/>
          <w:szCs w:val="32"/>
          <w:u w:val="none"/>
        </w:rPr>
        <w:t>万元，与上年相比</w:t>
      </w:r>
      <w:r>
        <w:rPr>
          <w:rFonts w:hint="eastAsia" w:ascii="仿宋_GB2312" w:eastAsia="仿宋_GB2312"/>
          <w:color w:val="auto"/>
          <w:sz w:val="32"/>
          <w:szCs w:val="32"/>
          <w:u w:val="none"/>
          <w:lang w:val="en-US" w:eastAsia="zh-CN"/>
        </w:rPr>
        <w:t>减少1073.44</w:t>
      </w:r>
      <w:r>
        <w:rPr>
          <w:rFonts w:hint="eastAsia" w:ascii="仿宋_GB2312" w:eastAsia="仿宋_GB2312"/>
          <w:color w:val="auto"/>
          <w:sz w:val="32"/>
          <w:szCs w:val="32"/>
          <w:u w:val="none"/>
        </w:rPr>
        <w:t>万元，其他公立医院支出年初安排</w:t>
      </w:r>
      <w:r>
        <w:rPr>
          <w:rFonts w:hint="eastAsia" w:ascii="仿宋_GB2312" w:eastAsia="仿宋_GB2312"/>
          <w:color w:val="auto"/>
          <w:sz w:val="32"/>
          <w:szCs w:val="32"/>
          <w:u w:val="none"/>
          <w:lang w:val="en-US" w:eastAsia="zh-CN"/>
        </w:rPr>
        <w:t>1820.51</w:t>
      </w:r>
      <w:r>
        <w:rPr>
          <w:rFonts w:hint="eastAsia" w:ascii="仿宋_GB2312" w:eastAsia="仿宋_GB2312"/>
          <w:color w:val="auto"/>
          <w:sz w:val="32"/>
          <w:szCs w:val="32"/>
          <w:u w:val="none"/>
        </w:rPr>
        <w:t>万元，与去年相比</w:t>
      </w:r>
      <w:r>
        <w:rPr>
          <w:rFonts w:hint="eastAsia" w:ascii="仿宋_GB2312" w:eastAsia="仿宋_GB2312"/>
          <w:color w:val="auto"/>
          <w:sz w:val="32"/>
          <w:szCs w:val="32"/>
          <w:u w:val="none"/>
          <w:lang w:val="en-US" w:eastAsia="zh-CN"/>
        </w:rPr>
        <w:t>增加695.17</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增长</w:t>
      </w:r>
      <w:r>
        <w:rPr>
          <w:rFonts w:hint="eastAsia" w:ascii="仿宋_GB2312" w:eastAsia="仿宋_GB2312"/>
          <w:color w:val="auto"/>
          <w:sz w:val="32"/>
          <w:szCs w:val="32"/>
          <w:u w:val="none"/>
        </w:rPr>
        <w:t>率为</w:t>
      </w:r>
      <w:r>
        <w:rPr>
          <w:rFonts w:hint="eastAsia" w:ascii="仿宋_GB2312" w:eastAsia="仿宋_GB2312"/>
          <w:color w:val="auto"/>
          <w:sz w:val="32"/>
          <w:szCs w:val="32"/>
          <w:u w:val="none"/>
          <w:lang w:val="en-US" w:eastAsia="zh-CN"/>
        </w:rPr>
        <w:t>61.77</w:t>
      </w:r>
      <w:r>
        <w:rPr>
          <w:rFonts w:hint="eastAsia" w:ascii="仿宋_GB2312" w:eastAsia="仿宋_GB2312"/>
          <w:color w:val="auto"/>
          <w:sz w:val="32"/>
          <w:szCs w:val="32"/>
          <w:u w:val="none"/>
        </w:rPr>
        <w:t>%</w:t>
      </w:r>
      <w:r>
        <w:rPr>
          <w:rFonts w:hint="eastAsia" w:ascii="仿宋_GB2312" w:eastAsia="仿宋_GB2312"/>
          <w:color w:val="auto"/>
          <w:sz w:val="32"/>
          <w:szCs w:val="32"/>
          <w:u w:val="none"/>
          <w:lang w:eastAsia="zh-CN"/>
        </w:rPr>
        <w:t>。</w:t>
      </w:r>
    </w:p>
    <w:p>
      <w:pPr>
        <w:numPr>
          <w:ilvl w:val="0"/>
          <w:numId w:val="0"/>
        </w:num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rPr>
        <w:t>2.公共卫生</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中基本公共卫生服务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181</w:t>
      </w:r>
      <w:r>
        <w:rPr>
          <w:rFonts w:hint="eastAsia" w:ascii="仿宋_GB2312" w:eastAsia="仿宋_GB2312"/>
          <w:color w:val="auto"/>
          <w:sz w:val="32"/>
          <w:szCs w:val="32"/>
          <w:u w:val="none"/>
        </w:rPr>
        <w:t>万元,重大公共卫生服务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w:t>
      </w:r>
      <w:r>
        <w:rPr>
          <w:rFonts w:hint="eastAsia" w:ascii="仿宋_GB2312" w:eastAsia="仿宋_GB2312"/>
          <w:color w:val="auto"/>
          <w:sz w:val="32"/>
          <w:szCs w:val="32"/>
          <w:u w:val="none"/>
          <w:lang w:val="en-US" w:eastAsia="zh-CN"/>
        </w:rPr>
        <w:t>621.99</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突发公共卫生事件应急处置</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年初预算86.62万元。</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3.中医药</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中中医药专项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w:t>
      </w:r>
      <w:r>
        <w:rPr>
          <w:rFonts w:hint="eastAsia" w:ascii="仿宋_GB2312" w:eastAsia="仿宋_GB2312"/>
          <w:color w:val="auto"/>
          <w:sz w:val="32"/>
          <w:szCs w:val="32"/>
          <w:u w:val="none"/>
          <w:lang w:val="en-US" w:eastAsia="zh-CN"/>
        </w:rPr>
        <w:t>9.25</w:t>
      </w:r>
      <w:r>
        <w:rPr>
          <w:rFonts w:hint="eastAsia" w:ascii="仿宋_GB2312" w:eastAsia="仿宋_GB2312"/>
          <w:color w:val="auto"/>
          <w:sz w:val="32"/>
          <w:szCs w:val="32"/>
          <w:u w:val="none"/>
        </w:rPr>
        <w:t>万元。</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4.其他卫生健康支出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1329</w:t>
      </w:r>
      <w:r>
        <w:rPr>
          <w:rFonts w:hint="eastAsia" w:ascii="仿宋_GB2312" w:eastAsia="仿宋_GB2312"/>
          <w:color w:val="auto"/>
          <w:sz w:val="32"/>
          <w:szCs w:val="32"/>
          <w:u w:val="none"/>
        </w:rPr>
        <w:t>万元。</w:t>
      </w:r>
    </w:p>
    <w:p>
      <w:pPr>
        <w:adjustRightInd w:val="0"/>
        <w:snapToGrid w:val="0"/>
        <w:spacing w:line="560" w:lineRule="exact"/>
        <w:ind w:left="64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（三）科学技术支出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类</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年初安排预算</w:t>
      </w:r>
      <w:r>
        <w:rPr>
          <w:rFonts w:hint="eastAsia" w:ascii="仿宋_GB2312" w:eastAsia="仿宋_GB2312"/>
          <w:color w:val="auto"/>
          <w:sz w:val="32"/>
          <w:szCs w:val="32"/>
          <w:u w:val="none"/>
          <w:lang w:val="en-US" w:eastAsia="zh-CN"/>
        </w:rPr>
        <w:t>1157.59</w:t>
      </w:r>
      <w:r>
        <w:rPr>
          <w:rFonts w:hint="eastAsia" w:ascii="仿宋_GB2312" w:eastAsia="仿宋_GB2312"/>
          <w:color w:val="auto"/>
          <w:sz w:val="32"/>
          <w:szCs w:val="32"/>
          <w:u w:val="none"/>
        </w:rPr>
        <w:t>万元，其中：</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1.应用研究</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中其他应用研究支出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354.13</w:t>
      </w:r>
      <w:r>
        <w:rPr>
          <w:rFonts w:hint="eastAsia" w:ascii="仿宋_GB2312" w:eastAsia="仿宋_GB2312"/>
          <w:color w:val="auto"/>
          <w:sz w:val="32"/>
          <w:szCs w:val="32"/>
          <w:u w:val="none"/>
        </w:rPr>
        <w:t>万元；</w:t>
      </w:r>
    </w:p>
    <w:p>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2.技术研究与开发</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中科技成果转化与扩散</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86.12</w:t>
      </w:r>
      <w:r>
        <w:rPr>
          <w:rFonts w:hint="eastAsia" w:ascii="仿宋_GB2312" w:eastAsia="仿宋_GB2312"/>
          <w:color w:val="auto"/>
          <w:sz w:val="32"/>
          <w:szCs w:val="32"/>
          <w:u w:val="none"/>
        </w:rPr>
        <w:t>万元；</w:t>
      </w:r>
    </w:p>
    <w:p>
      <w:pPr>
        <w:pStyle w:val="8"/>
        <w:tabs>
          <w:tab w:val="left" w:pos="2671"/>
          <w:tab w:val="left" w:pos="5000"/>
          <w:tab w:val="left" w:pos="6190"/>
        </w:tabs>
        <w:spacing w:after="0" w:line="60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3.其他科学技术支出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中</w:t>
      </w:r>
      <w:r>
        <w:rPr>
          <w:rFonts w:hint="eastAsia" w:ascii="仿宋_GB2312" w:eastAsia="仿宋_GB2312"/>
          <w:color w:val="auto"/>
          <w:sz w:val="32"/>
          <w:szCs w:val="32"/>
          <w:u w:val="none"/>
        </w:rPr>
        <w:t>其他科学技术支出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151.7</w:t>
      </w:r>
      <w:r>
        <w:rPr>
          <w:rFonts w:hint="eastAsia" w:ascii="仿宋_GB2312" w:eastAsia="仿宋_GB2312"/>
          <w:color w:val="auto"/>
          <w:sz w:val="32"/>
          <w:szCs w:val="32"/>
          <w:u w:val="none"/>
        </w:rPr>
        <w:t>万元</w:t>
      </w:r>
    </w:p>
    <w:p>
      <w:pPr>
        <w:pStyle w:val="8"/>
        <w:tabs>
          <w:tab w:val="left" w:pos="2671"/>
          <w:tab w:val="left" w:pos="5000"/>
          <w:tab w:val="left" w:pos="6190"/>
        </w:tabs>
        <w:spacing w:after="0" w:line="600" w:lineRule="exact"/>
        <w:ind w:firstLine="640" w:firstLineChars="200"/>
        <w:rPr>
          <w:rFonts w:hint="eastAsia"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4.科技条件与服务（款）科技条件专项（项）年初预算65.63万元</w:t>
      </w:r>
    </w:p>
    <w:p>
      <w:pPr>
        <w:pStyle w:val="8"/>
        <w:tabs>
          <w:tab w:val="left" w:pos="2671"/>
          <w:tab w:val="left" w:pos="5000"/>
          <w:tab w:val="left" w:pos="6190"/>
        </w:tabs>
        <w:spacing w:after="0" w:line="60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5.科技重大项目（款）科技重大专项（项）年初预算500万元。</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六、一般公共预算基本支出预算情况说明</w:t>
      </w:r>
    </w:p>
    <w:p>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Times New Roman" w:hAnsi="Times New Roman" w:eastAsia="仿宋_GB2312" w:cs="仿宋"/>
          <w:color w:val="auto"/>
          <w:sz w:val="32"/>
          <w:szCs w:val="32"/>
          <w:highlight w:val="none"/>
          <w:u w:val="none"/>
        </w:rPr>
        <w:t>年度一般公共预算财政拨款基本支出预算</w:t>
      </w:r>
      <w:r>
        <w:rPr>
          <w:rFonts w:hint="eastAsia" w:eastAsia="仿宋_GB2312" w:cs="仿宋"/>
          <w:color w:val="auto"/>
          <w:sz w:val="32"/>
          <w:szCs w:val="32"/>
          <w:highlight w:val="none"/>
          <w:u w:val="none"/>
          <w:lang w:val="en-US" w:eastAsia="zh-CN"/>
        </w:rPr>
        <w:t>10337.80</w:t>
      </w:r>
      <w:r>
        <w:rPr>
          <w:rFonts w:hint="eastAsia" w:ascii="Times New Roman" w:hAnsi="Times New Roman" w:eastAsia="仿宋_GB2312" w:cs="仿宋"/>
          <w:color w:val="auto"/>
          <w:sz w:val="32"/>
          <w:szCs w:val="32"/>
          <w:highlight w:val="none"/>
          <w:u w:val="none"/>
        </w:rPr>
        <w:t>万元，其中：</w:t>
      </w:r>
    </w:p>
    <w:p>
      <w:pPr>
        <w:pStyle w:val="8"/>
        <w:numPr>
          <w:ilvl w:val="0"/>
          <w:numId w:val="3"/>
        </w:numPr>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r>
        <w:rPr>
          <w:rFonts w:hint="eastAsia" w:ascii="Times New Roman" w:hAnsi="Times New Roman" w:eastAsia="仿宋_GB2312" w:cs="仿宋"/>
          <w:b w:val="0"/>
          <w:bCs w:val="0"/>
          <w:color w:val="auto"/>
          <w:sz w:val="32"/>
          <w:szCs w:val="32"/>
          <w:highlight w:val="none"/>
          <w:u w:val="none"/>
        </w:rPr>
        <w:t>人员经费</w:t>
      </w:r>
      <w:r>
        <w:rPr>
          <w:rFonts w:hint="eastAsia" w:eastAsia="仿宋_GB2312" w:cs="仿宋"/>
          <w:b w:val="0"/>
          <w:bCs w:val="0"/>
          <w:color w:val="auto"/>
          <w:sz w:val="32"/>
          <w:szCs w:val="32"/>
          <w:highlight w:val="none"/>
          <w:u w:val="none"/>
          <w:lang w:val="en-US" w:eastAsia="zh-CN"/>
        </w:rPr>
        <w:t>10337.80</w:t>
      </w:r>
      <w:r>
        <w:rPr>
          <w:rFonts w:hint="eastAsia" w:ascii="Times New Roman" w:hAnsi="Times New Roman" w:eastAsia="仿宋_GB2312" w:cs="仿宋"/>
          <w:b w:val="0"/>
          <w:bCs w:val="0"/>
          <w:color w:val="auto"/>
          <w:sz w:val="32"/>
          <w:szCs w:val="32"/>
          <w:highlight w:val="none"/>
          <w:u w:val="none"/>
        </w:rPr>
        <w:t>万元。</w:t>
      </w:r>
      <w:r>
        <w:rPr>
          <w:rFonts w:hint="eastAsia" w:eastAsia="仿宋_GB2312" w:cs="仿宋"/>
          <w:color w:val="auto"/>
          <w:sz w:val="32"/>
          <w:szCs w:val="32"/>
          <w:highlight w:val="none"/>
          <w:u w:val="none"/>
          <w:lang w:val="en-US" w:eastAsia="zh-CN"/>
        </w:rPr>
        <w:t>与上年相比增加4958.87万元，增长率92.19%，主要原因为定项补助增加；</w:t>
      </w:r>
      <w:r>
        <w:rPr>
          <w:rFonts w:hint="eastAsia" w:ascii="Times New Roman" w:hAnsi="Times New Roman" w:eastAsia="仿宋_GB2312" w:cs="仿宋"/>
          <w:color w:val="auto"/>
          <w:sz w:val="32"/>
          <w:szCs w:val="32"/>
          <w:highlight w:val="none"/>
          <w:u w:val="none"/>
        </w:rPr>
        <w:t>主要包括：基本工资、津贴补贴、奖金、伙食补助费、绩效工资、住房公积金、医疗费、其他工资福利支出、离休费、退休费、抚恤金、奖励金、其他对个人和家庭的补助等。</w:t>
      </w:r>
    </w:p>
    <w:p>
      <w:pPr>
        <w:pStyle w:val="8"/>
        <w:numPr>
          <w:ilvl w:val="0"/>
          <w:numId w:val="3"/>
        </w:numPr>
        <w:tabs>
          <w:tab w:val="left" w:pos="2671"/>
          <w:tab w:val="left" w:pos="5000"/>
          <w:tab w:val="left" w:pos="6190"/>
        </w:tabs>
        <w:spacing w:after="0" w:line="600" w:lineRule="exact"/>
        <w:ind w:left="0" w:leftChars="0" w:firstLine="640" w:firstLineChars="200"/>
        <w:rPr>
          <w:rFonts w:hint="eastAsia" w:ascii="Times New Roman" w:hAnsi="Times New Roman" w:eastAsia="仿宋_GB2312" w:cs="仿宋"/>
          <w:b w:val="0"/>
          <w:bCs w:val="0"/>
          <w:color w:val="auto"/>
          <w:sz w:val="32"/>
          <w:szCs w:val="32"/>
          <w:highlight w:val="none"/>
          <w:u w:val="none"/>
          <w:lang w:eastAsia="zh-CN"/>
        </w:rPr>
      </w:pPr>
      <w:r>
        <w:rPr>
          <w:rFonts w:hint="eastAsia" w:ascii="Times New Roman" w:hAnsi="Times New Roman" w:eastAsia="仿宋_GB2312" w:cs="仿宋"/>
          <w:b w:val="0"/>
          <w:bCs w:val="0"/>
          <w:color w:val="auto"/>
          <w:sz w:val="32"/>
          <w:szCs w:val="32"/>
          <w:highlight w:val="none"/>
          <w:u w:val="none"/>
        </w:rPr>
        <w:t>公用经费</w:t>
      </w:r>
      <w:r>
        <w:rPr>
          <w:rFonts w:hint="eastAsia" w:eastAsia="仿宋_GB2312" w:cs="仿宋"/>
          <w:b w:val="0"/>
          <w:bCs w:val="0"/>
          <w:color w:val="auto"/>
          <w:sz w:val="32"/>
          <w:szCs w:val="32"/>
          <w:highlight w:val="none"/>
          <w:u w:val="none"/>
          <w:lang w:val="en-US" w:eastAsia="zh-CN"/>
        </w:rPr>
        <w:t>0</w:t>
      </w:r>
      <w:r>
        <w:rPr>
          <w:rFonts w:hint="eastAsia" w:ascii="Times New Roman" w:hAnsi="Times New Roman" w:eastAsia="仿宋_GB2312" w:cs="仿宋"/>
          <w:b w:val="0"/>
          <w:bCs w:val="0"/>
          <w:color w:val="auto"/>
          <w:sz w:val="32"/>
          <w:szCs w:val="32"/>
          <w:highlight w:val="none"/>
          <w:u w:val="none"/>
        </w:rPr>
        <w:t>万元。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r>
        <w:rPr>
          <w:rFonts w:hint="eastAsia" w:eastAsia="仿宋_GB2312" w:cs="仿宋"/>
          <w:b w:val="0"/>
          <w:bCs w:val="0"/>
          <w:color w:val="auto"/>
          <w:sz w:val="32"/>
          <w:szCs w:val="32"/>
          <w:highlight w:val="none"/>
          <w:u w:val="none"/>
          <w:lang w:val="en-US" w:eastAsia="zh-CN"/>
        </w:rPr>
        <w:t>我单位公用经费使用自有资金。</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七、一般公共预算“三公”经费支出预算情况说明</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万元，其中因公出国（境）费支出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；公务用车购置及运行维护费支出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；公务接待费支出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。具体情况如下：</w:t>
      </w:r>
    </w:p>
    <w:p>
      <w:pPr>
        <w:spacing w:line="600" w:lineRule="exact"/>
        <w:ind w:left="29" w:right="96" w:firstLine="650"/>
        <w:rPr>
          <w:rFonts w:eastAsia="仿宋_GB2312"/>
          <w:color w:val="auto"/>
          <w:sz w:val="32"/>
          <w:szCs w:val="32"/>
          <w:highlight w:val="none"/>
          <w:u w:val="none"/>
        </w:rPr>
      </w:pPr>
      <w:r>
        <w:rPr>
          <w:rFonts w:eastAsia="仿宋_GB2312"/>
          <w:color w:val="auto"/>
          <w:sz w:val="32"/>
          <w:szCs w:val="32"/>
          <w:highlight w:val="none"/>
          <w:u w:val="none"/>
        </w:rPr>
        <w:t>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pacing w:val="-4"/>
          <w:sz w:val="32"/>
          <w:szCs w:val="32"/>
          <w:highlight w:val="none"/>
          <w:u w:val="none"/>
        </w:rPr>
        <w:t>万元，比上年预</w:t>
      </w:r>
      <w:r>
        <w:rPr>
          <w:rFonts w:eastAsia="仿宋_GB2312"/>
          <w:color w:val="auto"/>
          <w:spacing w:val="-6"/>
          <w:sz w:val="32"/>
          <w:szCs w:val="32"/>
          <w:highlight w:val="none"/>
          <w:u w:val="none"/>
        </w:rPr>
        <w:t>算增加（减少）</w:t>
      </w:r>
      <w:r>
        <w:rPr>
          <w:rFonts w:hint="eastAsia" w:eastAsia="仿宋_GB2312"/>
          <w:color w:val="auto"/>
          <w:sz w:val="32"/>
          <w:szCs w:val="32"/>
          <w:highlight w:val="none"/>
          <w:u w:val="none"/>
          <w:lang w:val="en-US" w:eastAsia="zh-CN"/>
        </w:rPr>
        <w:t>0</w:t>
      </w:r>
      <w:r>
        <w:rPr>
          <w:rFonts w:eastAsia="仿宋_GB2312"/>
          <w:color w:val="auto"/>
          <w:spacing w:val="-6"/>
          <w:sz w:val="32"/>
          <w:szCs w:val="32"/>
          <w:highlight w:val="none"/>
          <w:u w:val="none"/>
        </w:rPr>
        <w:t>万元，</w:t>
      </w:r>
      <w:r>
        <w:rPr>
          <w:rFonts w:eastAsia="仿宋_GB2312"/>
          <w:color w:val="auto"/>
          <w:sz w:val="32"/>
          <w:szCs w:val="32"/>
          <w:highlight w:val="none"/>
          <w:u w:val="none"/>
        </w:rPr>
        <w:t>增长（减少）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pacing w:val="-6"/>
          <w:sz w:val="32"/>
          <w:szCs w:val="32"/>
          <w:highlight w:val="none"/>
          <w:u w:val="none"/>
        </w:rPr>
        <w:t>；</w:t>
      </w:r>
      <w:r>
        <w:rPr>
          <w:rFonts w:eastAsia="仿宋_GB2312"/>
          <w:color w:val="auto"/>
          <w:spacing w:val="-4"/>
          <w:sz w:val="32"/>
          <w:szCs w:val="32"/>
          <w:highlight w:val="none"/>
          <w:u w:val="none"/>
        </w:rPr>
        <w:t>其中：</w:t>
      </w:r>
    </w:p>
    <w:p>
      <w:pPr>
        <w:pStyle w:val="8"/>
        <w:spacing w:after="0" w:line="600" w:lineRule="exact"/>
        <w:ind w:left="17" w:leftChars="8" w:firstLine="640" w:firstLineChars="200"/>
        <w:rPr>
          <w:rFonts w:eastAsia="仿宋_GB2312"/>
          <w:color w:val="auto"/>
          <w:sz w:val="32"/>
          <w:szCs w:val="32"/>
          <w:highlight w:val="none"/>
          <w:u w:val="none"/>
        </w:rPr>
      </w:pPr>
      <w:r>
        <w:rPr>
          <w:rFonts w:eastAsia="仿宋_GB2312"/>
          <w:color w:val="auto"/>
          <w:sz w:val="32"/>
          <w:szCs w:val="32"/>
          <w:highlight w:val="none"/>
          <w:u w:val="none"/>
        </w:rPr>
        <w:t>1．因公出国（境）费预算支出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因公出国（境）费预算支出。</w:t>
      </w:r>
    </w:p>
    <w:p>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2．公务用车购置及运行维护费预算支出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w:t>
      </w:r>
    </w:p>
    <w:p>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（1）公务用车购置预算支出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公务用车购置预算支出。</w:t>
      </w:r>
    </w:p>
    <w:p>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公务用车运行维护费预算支出。</w:t>
      </w:r>
    </w:p>
    <w:p>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3．公务接待费预算支出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w:t>
      </w:r>
      <w:r>
        <w:rPr>
          <w:rFonts w:eastAsia="仿宋_GB2312"/>
          <w:color w:val="auto"/>
          <w:sz w:val="32"/>
          <w:szCs w:val="32"/>
          <w:highlight w:val="none"/>
          <w:u w:val="none"/>
        </w:rPr>
        <w:t>公务接待费预算支出。</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八、政府性基金预算支出预算情况说明</w:t>
      </w:r>
    </w:p>
    <w:p>
      <w:pPr>
        <w:pStyle w:val="8"/>
        <w:spacing w:after="0" w:line="600" w:lineRule="exact"/>
        <w:ind w:left="17" w:leftChars="8"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年度政府性基金支出预算支出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ascii="Times New Roman" w:hAnsi="Times New Roman" w:eastAsia="仿宋_GB2312" w:cs="仿宋"/>
          <w:color w:val="auto"/>
          <w:sz w:val="32"/>
          <w:szCs w:val="32"/>
          <w:highlight w:val="none"/>
          <w:u w:val="none"/>
        </w:rPr>
        <w:t>本部门无政府性基金预算支出</w:t>
      </w:r>
      <w:r>
        <w:rPr>
          <w:rFonts w:hint="eastAsia" w:eastAsia="仿宋_GB2312" w:cs="仿宋"/>
          <w:color w:val="auto"/>
          <w:sz w:val="32"/>
          <w:szCs w:val="32"/>
          <w:highlight w:val="none"/>
          <w:u w:val="none"/>
          <w:lang w:eastAsia="zh-CN"/>
        </w:rPr>
        <w:t>。</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九、国有资本经营预算支出预算情况说明</w:t>
      </w:r>
    </w:p>
    <w:p>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国有资本经营预算支出</w:t>
      </w:r>
      <w:r>
        <w:rPr>
          <w:rFonts w:hint="eastAsia" w:eastAsia="仿宋_GB2312" w:cstheme="minorBidi"/>
          <w:color w:val="auto"/>
          <w:sz w:val="32"/>
          <w:szCs w:val="32"/>
          <w:highlight w:val="none"/>
          <w:u w:val="none"/>
        </w:rPr>
        <w:tab/>
      </w:r>
      <w:r>
        <w:rPr>
          <w:rFonts w:hint="eastAsia" w:eastAsia="仿宋_GB2312" w:cstheme="minorBidi"/>
          <w:color w:val="auto"/>
          <w:sz w:val="32"/>
          <w:szCs w:val="32"/>
          <w:highlight w:val="none"/>
          <w:u w:val="none"/>
          <w:lang w:val="en-US" w:eastAsia="zh-CN"/>
        </w:rPr>
        <w:t>0</w:t>
      </w:r>
      <w:r>
        <w:rPr>
          <w:rFonts w:hint="eastAsia" w:eastAsia="仿宋_GB2312" w:cstheme="minorBidi"/>
          <w:color w:val="auto"/>
          <w:sz w:val="32"/>
          <w:szCs w:val="32"/>
          <w:highlight w:val="none"/>
          <w:u w:val="none"/>
        </w:rPr>
        <w:t xml:space="preserve">  万元</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本部门无国有资本经营预算支出</w:t>
      </w:r>
      <w:r>
        <w:rPr>
          <w:rFonts w:hint="eastAsia" w:eastAsia="仿宋_GB2312" w:cstheme="minorBidi"/>
          <w:color w:val="auto"/>
          <w:sz w:val="32"/>
          <w:szCs w:val="32"/>
          <w:highlight w:val="none"/>
          <w:u w:val="none"/>
          <w:lang w:eastAsia="zh-CN"/>
        </w:rPr>
        <w:t>。</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十、项目支出预算情况说明</w:t>
      </w:r>
    </w:p>
    <w:p>
      <w:pPr>
        <w:spacing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年度预算安排项目</w:t>
      </w:r>
      <w:r>
        <w:rPr>
          <w:rFonts w:hint="eastAsia" w:eastAsia="仿宋_GB2312"/>
          <w:color w:val="auto"/>
          <w:sz w:val="32"/>
          <w:szCs w:val="32"/>
          <w:highlight w:val="none"/>
          <w:u w:val="none"/>
          <w:lang w:val="en-US" w:eastAsia="zh-CN"/>
        </w:rPr>
        <w:t>71</w:t>
      </w:r>
      <w:r>
        <w:rPr>
          <w:rFonts w:eastAsia="仿宋_GB2312"/>
          <w:color w:val="auto"/>
          <w:sz w:val="32"/>
          <w:szCs w:val="32"/>
          <w:highlight w:val="none"/>
          <w:u w:val="none"/>
        </w:rPr>
        <w:t>个，项目预算总金额</w:t>
      </w:r>
      <w:r>
        <w:rPr>
          <w:rFonts w:hint="eastAsia" w:eastAsia="仿宋_GB2312"/>
          <w:color w:val="auto"/>
          <w:sz w:val="32"/>
          <w:szCs w:val="32"/>
          <w:highlight w:val="none"/>
          <w:u w:val="none"/>
          <w:lang w:val="en-US" w:eastAsia="zh-CN"/>
        </w:rPr>
        <w:t>5347.66</w:t>
      </w:r>
      <w:r>
        <w:rPr>
          <w:rFonts w:eastAsia="仿宋_GB2312"/>
          <w:color w:val="auto"/>
          <w:sz w:val="32"/>
          <w:szCs w:val="32"/>
          <w:highlight w:val="none"/>
          <w:u w:val="none"/>
        </w:rPr>
        <w:t>万元。其中，财政本年拨款金额</w:t>
      </w:r>
      <w:r>
        <w:rPr>
          <w:rFonts w:hint="eastAsia" w:eastAsia="仿宋_GB2312"/>
          <w:color w:val="auto"/>
          <w:sz w:val="32"/>
          <w:szCs w:val="32"/>
          <w:highlight w:val="none"/>
          <w:u w:val="none"/>
          <w:lang w:val="en-US" w:eastAsia="zh-CN"/>
        </w:rPr>
        <w:t>2932.60</w:t>
      </w:r>
      <w:r>
        <w:rPr>
          <w:rFonts w:eastAsia="仿宋_GB2312"/>
          <w:color w:val="auto"/>
          <w:sz w:val="32"/>
          <w:szCs w:val="32"/>
          <w:highlight w:val="none"/>
          <w:u w:val="none"/>
        </w:rPr>
        <w:t>万元，财政拨款结转结余</w:t>
      </w:r>
      <w:r>
        <w:rPr>
          <w:rFonts w:hint="eastAsia" w:eastAsia="仿宋_GB2312"/>
          <w:color w:val="auto"/>
          <w:sz w:val="32"/>
          <w:szCs w:val="32"/>
          <w:highlight w:val="none"/>
          <w:u w:val="none"/>
          <w:lang w:val="en-US" w:eastAsia="zh-CN"/>
        </w:rPr>
        <w:t>2415.06</w:t>
      </w:r>
      <w:r>
        <w:rPr>
          <w:rFonts w:eastAsia="仿宋_GB2312"/>
          <w:color w:val="auto"/>
          <w:sz w:val="32"/>
          <w:szCs w:val="32"/>
          <w:highlight w:val="none"/>
          <w:u w:val="none"/>
        </w:rPr>
        <w:t>万元。</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十一、</w:t>
      </w:r>
      <w:r>
        <w:rPr>
          <w:rFonts w:hint="eastAsia" w:eastAsia="黑体" w:cs="黑体"/>
          <w:color w:val="auto"/>
          <w:sz w:val="32"/>
          <w:szCs w:val="36"/>
          <w:highlight w:val="none"/>
          <w:u w:val="none"/>
          <w:lang w:val="en-US" w:eastAsia="zh-CN"/>
        </w:rPr>
        <w:t>机构</w:t>
      </w:r>
      <w:r>
        <w:rPr>
          <w:rFonts w:hint="eastAsia" w:eastAsia="黑体" w:cs="黑体"/>
          <w:color w:val="auto"/>
          <w:sz w:val="32"/>
          <w:szCs w:val="36"/>
          <w:highlight w:val="none"/>
          <w:u w:val="none"/>
        </w:rPr>
        <w:t>运行经费支出预算情况说明</w:t>
      </w:r>
    </w:p>
    <w:p>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w:t>
      </w:r>
      <w:r>
        <w:rPr>
          <w:rFonts w:hint="eastAsia" w:eastAsia="仿宋_GB2312"/>
          <w:color w:val="auto"/>
          <w:sz w:val="32"/>
          <w:szCs w:val="32"/>
          <w:highlight w:val="none"/>
          <w:u w:val="none"/>
          <w:lang w:val="en-US" w:eastAsia="zh-CN"/>
        </w:rPr>
        <w:t>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val="en-US" w:eastAsia="zh-CN"/>
        </w:rPr>
        <w:t>2024年本部门机构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无变动。</w:t>
      </w:r>
    </w:p>
    <w:p>
      <w:pPr>
        <w:spacing w:line="600" w:lineRule="exact"/>
        <w:ind w:left="0" w:leftChars="0" w:firstLine="640" w:firstLineChars="200"/>
        <w:outlineLvl w:val="2"/>
        <w:rPr>
          <w:rFonts w:eastAsia="黑体" w:cs="黑体"/>
          <w:b/>
          <w:bCs/>
          <w:color w:val="auto"/>
          <w:sz w:val="32"/>
          <w:szCs w:val="36"/>
          <w:highlight w:val="none"/>
          <w:u w:val="none"/>
        </w:rPr>
      </w:pPr>
      <w:r>
        <w:rPr>
          <w:rFonts w:hint="eastAsia" w:eastAsia="黑体" w:cs="黑体"/>
          <w:color w:val="auto"/>
          <w:sz w:val="32"/>
          <w:szCs w:val="36"/>
          <w:highlight w:val="none"/>
          <w:u w:val="none"/>
        </w:rPr>
        <w:t>十二、政府采购支出预算情况说明</w:t>
      </w:r>
    </w:p>
    <w:p>
      <w:pPr>
        <w:spacing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年度政府采购支出预算总额</w:t>
      </w:r>
      <w:r>
        <w:rPr>
          <w:rFonts w:eastAsia="仿宋_GB2312"/>
          <w:color w:val="auto"/>
          <w:sz w:val="32"/>
          <w:szCs w:val="32"/>
          <w:highlight w:val="none"/>
          <w:u w:val="none"/>
        </w:rPr>
        <w:tab/>
      </w:r>
      <w:r>
        <w:rPr>
          <w:rFonts w:eastAsia="仿宋_GB2312"/>
          <w:color w:val="auto"/>
          <w:sz w:val="32"/>
          <w:szCs w:val="32"/>
          <w:highlight w:val="none"/>
          <w:u w:val="none"/>
        </w:rPr>
        <w:t xml:space="preserve"> </w:t>
      </w:r>
      <w:r>
        <w:rPr>
          <w:rFonts w:hint="eastAsia" w:eastAsia="仿宋_GB2312"/>
          <w:color w:val="auto"/>
          <w:sz w:val="32"/>
          <w:szCs w:val="32"/>
          <w:highlight w:val="none"/>
          <w:u w:val="none"/>
          <w:lang w:val="en-US" w:eastAsia="zh-CN"/>
        </w:rPr>
        <w:t>24412.72</w:t>
      </w:r>
      <w:r>
        <w:rPr>
          <w:rFonts w:eastAsia="仿宋_GB2312"/>
          <w:color w:val="auto"/>
          <w:sz w:val="32"/>
          <w:szCs w:val="32"/>
          <w:highlight w:val="none"/>
          <w:u w:val="none"/>
        </w:rPr>
        <w:t>万元，其中：拟采购货物支出</w:t>
      </w:r>
      <w:r>
        <w:rPr>
          <w:rFonts w:hint="eastAsia" w:eastAsia="仿宋_GB2312"/>
          <w:color w:val="auto"/>
          <w:sz w:val="32"/>
          <w:szCs w:val="32"/>
          <w:highlight w:val="none"/>
          <w:u w:val="none"/>
          <w:lang w:val="en-US" w:eastAsia="zh-CN"/>
        </w:rPr>
        <w:t>21977.69</w:t>
      </w:r>
      <w:r>
        <w:rPr>
          <w:rFonts w:eastAsia="仿宋_GB2312"/>
          <w:color w:val="auto"/>
          <w:sz w:val="32"/>
          <w:szCs w:val="32"/>
          <w:highlight w:val="none"/>
          <w:u w:val="none"/>
        </w:rPr>
        <w:t>万元、拟购买服务支出</w:t>
      </w:r>
      <w:r>
        <w:rPr>
          <w:rFonts w:hint="eastAsia" w:eastAsia="仿宋_GB2312"/>
          <w:color w:val="auto"/>
          <w:sz w:val="32"/>
          <w:szCs w:val="32"/>
          <w:highlight w:val="none"/>
          <w:u w:val="none"/>
          <w:lang w:val="en-US" w:eastAsia="zh-CN"/>
        </w:rPr>
        <w:t>2435.03</w:t>
      </w:r>
      <w:r>
        <w:rPr>
          <w:rFonts w:eastAsia="仿宋_GB2312"/>
          <w:color w:val="auto"/>
          <w:sz w:val="32"/>
          <w:szCs w:val="32"/>
          <w:highlight w:val="none"/>
          <w:u w:val="none"/>
        </w:rPr>
        <w:t>万元。</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十三、国有资产占用情况说明</w:t>
      </w:r>
    </w:p>
    <w:p>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w:t>
      </w:r>
      <w:r>
        <w:rPr>
          <w:rFonts w:eastAsia="仿宋_GB2312"/>
          <w:color w:val="auto"/>
          <w:sz w:val="32"/>
          <w:szCs w:val="32"/>
          <w:highlight w:val="none"/>
          <w:u w:val="none"/>
        </w:rPr>
        <w:t>共有车辆</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32</w:t>
      </w:r>
      <w:r>
        <w:rPr>
          <w:rFonts w:eastAsia="仿宋_GB2312"/>
          <w:color w:val="auto"/>
          <w:sz w:val="32"/>
          <w:szCs w:val="32"/>
          <w:highlight w:val="none"/>
          <w:u w:val="none"/>
        </w:rPr>
        <w:t>辆，其中，一般公务用车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辆、执法执勤用车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辆、特种专业技术用车</w:t>
      </w:r>
      <w:r>
        <w:rPr>
          <w:rFonts w:hint="eastAsia" w:eastAsia="仿宋_GB2312"/>
          <w:color w:val="auto"/>
          <w:sz w:val="32"/>
          <w:szCs w:val="32"/>
          <w:highlight w:val="none"/>
          <w:u w:val="none"/>
          <w:lang w:val="en-US" w:eastAsia="zh-CN"/>
        </w:rPr>
        <w:t>12</w:t>
      </w:r>
      <w:r>
        <w:rPr>
          <w:rFonts w:eastAsia="仿宋_GB2312"/>
          <w:color w:val="auto"/>
          <w:sz w:val="32"/>
          <w:szCs w:val="32"/>
          <w:highlight w:val="none"/>
          <w:u w:val="none"/>
        </w:rPr>
        <w:t>辆、业务用车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辆、其他用车</w:t>
      </w:r>
      <w:r>
        <w:rPr>
          <w:rFonts w:hint="eastAsia" w:eastAsia="仿宋_GB2312"/>
          <w:color w:val="auto"/>
          <w:sz w:val="32"/>
          <w:szCs w:val="32"/>
          <w:highlight w:val="none"/>
          <w:u w:val="none"/>
          <w:lang w:val="en-US" w:eastAsia="zh-CN"/>
        </w:rPr>
        <w:t>20</w:t>
      </w:r>
      <w:r>
        <w:rPr>
          <w:rFonts w:eastAsia="仿宋_GB2312"/>
          <w:color w:val="auto"/>
          <w:sz w:val="32"/>
          <w:szCs w:val="32"/>
          <w:highlight w:val="none"/>
          <w:u w:val="none"/>
        </w:rPr>
        <w:t>辆等</w:t>
      </w:r>
      <w:r>
        <w:rPr>
          <w:rFonts w:hint="eastAsia" w:eastAsia="仿宋_GB2312"/>
          <w:color w:val="auto"/>
          <w:sz w:val="32"/>
          <w:szCs w:val="32"/>
          <w:highlight w:val="none"/>
          <w:u w:val="none"/>
          <w:lang w:eastAsia="zh-CN"/>
        </w:rPr>
        <w:t>。</w:t>
      </w:r>
      <w:r>
        <w:rPr>
          <w:rFonts w:eastAsia="仿宋_GB2312"/>
          <w:color w:val="auto"/>
          <w:sz w:val="32"/>
          <w:szCs w:val="32"/>
          <w:highlight w:val="none"/>
          <w:u w:val="none"/>
        </w:rPr>
        <w:t>单价50万元（含）以上的设备</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591</w:t>
      </w:r>
      <w:r>
        <w:rPr>
          <w:rFonts w:eastAsia="仿宋_GB2312"/>
          <w:color w:val="auto"/>
          <w:sz w:val="32"/>
          <w:szCs w:val="32"/>
          <w:highlight w:val="none"/>
          <w:u w:val="none"/>
        </w:rPr>
        <w:t>台（套），单价100万元（含）以上的设备</w:t>
      </w:r>
      <w:r>
        <w:rPr>
          <w:rFonts w:hint="eastAsia" w:eastAsia="仿宋_GB2312"/>
          <w:color w:val="auto"/>
          <w:sz w:val="32"/>
          <w:szCs w:val="32"/>
          <w:highlight w:val="none"/>
          <w:u w:val="none"/>
          <w:lang w:val="en-US" w:eastAsia="zh-CN"/>
        </w:rPr>
        <w:t>318</w:t>
      </w:r>
      <w:r>
        <w:rPr>
          <w:rFonts w:eastAsia="仿宋_GB2312"/>
          <w:color w:val="auto"/>
          <w:sz w:val="32"/>
          <w:szCs w:val="32"/>
          <w:highlight w:val="none"/>
          <w:u w:val="none"/>
        </w:rPr>
        <w:t xml:space="preserve"> 台（套）。</w:t>
      </w:r>
    </w:p>
    <w:p>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 xml:space="preserve">十四、项目绩效目标情况说明 </w:t>
      </w:r>
    </w:p>
    <w:p>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填报绩效目标的预算项目</w:t>
      </w:r>
      <w:r>
        <w:rPr>
          <w:rFonts w:hint="eastAsia" w:eastAsia="仿宋_GB2312" w:cstheme="minorBidi"/>
          <w:color w:val="auto"/>
          <w:sz w:val="32"/>
          <w:szCs w:val="32"/>
          <w:highlight w:val="none"/>
          <w:u w:val="none"/>
          <w:lang w:val="en-US" w:eastAsia="zh-CN"/>
        </w:rPr>
        <w:t>28</w:t>
      </w:r>
      <w:r>
        <w:rPr>
          <w:rFonts w:hint="eastAsia" w:eastAsia="仿宋_GB2312" w:cstheme="minorBidi"/>
          <w:color w:val="auto"/>
          <w:sz w:val="32"/>
          <w:szCs w:val="32"/>
          <w:highlight w:val="none"/>
          <w:u w:val="none"/>
        </w:rPr>
        <w:t xml:space="preserve"> 个，公开</w:t>
      </w:r>
      <w:r>
        <w:rPr>
          <w:rFonts w:hint="eastAsia" w:eastAsia="仿宋_GB2312" w:cstheme="minorBidi"/>
          <w:color w:val="auto"/>
          <w:sz w:val="32"/>
          <w:szCs w:val="32"/>
          <w:highlight w:val="none"/>
          <w:u w:val="none"/>
          <w:lang w:val="en-US" w:eastAsia="zh-CN"/>
        </w:rPr>
        <w:t>项目28</w:t>
      </w:r>
      <w:r>
        <w:rPr>
          <w:rFonts w:hint="eastAsia" w:eastAsia="仿宋_GB2312" w:cstheme="minorBidi"/>
          <w:color w:val="auto"/>
          <w:sz w:val="32"/>
          <w:szCs w:val="32"/>
          <w:highlight w:val="none"/>
          <w:u w:val="none"/>
        </w:rPr>
        <w:t>个，公开项目占全部预算项目的100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。公开填报绩效目标的项目预算</w:t>
      </w:r>
      <w:r>
        <w:rPr>
          <w:rFonts w:hint="eastAsia" w:eastAsia="仿宋_GB2312" w:cstheme="minorBidi"/>
          <w:color w:val="auto"/>
          <w:sz w:val="32"/>
          <w:szCs w:val="32"/>
          <w:highlight w:val="none"/>
          <w:u w:val="none"/>
          <w:lang w:val="en-US" w:eastAsia="zh-CN"/>
        </w:rPr>
        <w:t>333270.40</w:t>
      </w:r>
      <w:r>
        <w:rPr>
          <w:rFonts w:hint="eastAsia" w:eastAsia="仿宋_GB2312" w:cstheme="minorBidi"/>
          <w:color w:val="auto"/>
          <w:sz w:val="32"/>
          <w:szCs w:val="32"/>
          <w:highlight w:val="none"/>
          <w:u w:val="none"/>
        </w:rPr>
        <w:t>万元，占全部项目预算的100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 xml:space="preserve">。 </w:t>
      </w:r>
    </w:p>
    <w:p>
      <w:pPr>
        <w:pStyle w:val="18"/>
        <w:spacing w:after="0" w:line="600" w:lineRule="exact"/>
        <w:rPr>
          <w:rFonts w:hint="default" w:ascii="方正小标宋简体" w:hAnsi="方正小标宋简体" w:eastAsia="方正小标宋简体" w:cs="方正小标宋简体"/>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2" w:name="_Toc15573"/>
      <w:r>
        <w:rPr>
          <w:rFonts w:hint="eastAsia" w:ascii="方正小标宋简体" w:hAnsi="方正小标宋简体" w:eastAsia="方正小标宋简体" w:cs="方正小标宋简体"/>
          <w:b w:val="0"/>
          <w:bCs w:val="0"/>
          <w:color w:val="auto"/>
          <w:sz w:val="36"/>
          <w:szCs w:val="36"/>
          <w:highlight w:val="none"/>
          <w:u w:val="none"/>
        </w:rPr>
        <w:t>第三部分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名词解释</w:t>
      </w:r>
      <w:bookmarkEnd w:id="2"/>
    </w:p>
    <w:p>
      <w:pPr>
        <w:rPr>
          <w:color w:val="auto"/>
          <w:sz w:val="36"/>
          <w:szCs w:val="36"/>
          <w:highlight w:val="none"/>
          <w:u w:val="none"/>
        </w:rPr>
      </w:pP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一、财政拨款：</w:t>
      </w:r>
      <w:r>
        <w:rPr>
          <w:rFonts w:hint="eastAsia" w:eastAsia="仿宋_GB2312" w:cstheme="minorBidi"/>
          <w:color w:val="auto"/>
          <w:sz w:val="32"/>
          <w:szCs w:val="32"/>
          <w:highlight w:val="none"/>
          <w:u w:val="none"/>
        </w:rPr>
        <w:t>从同级财政部门取得的各类财政拨款，包括一般公共预算拨款、政府性基金预算拨款、国有资本经营预算拨款。</w:t>
      </w:r>
    </w:p>
    <w:p>
      <w:pPr>
        <w:spacing w:line="600" w:lineRule="exact"/>
        <w:ind w:firstLine="643" w:firstLineChars="200"/>
        <w:rPr>
          <w:color w:val="auto"/>
          <w:highlight w:val="none"/>
          <w:u w:val="none"/>
        </w:rPr>
      </w:pPr>
      <w:r>
        <w:rPr>
          <w:rFonts w:hint="eastAsia" w:eastAsia="仿宋_GB2312" w:cstheme="minorBidi"/>
          <w:b/>
          <w:bCs/>
          <w:color w:val="auto"/>
          <w:sz w:val="32"/>
          <w:szCs w:val="32"/>
          <w:highlight w:val="none"/>
          <w:u w:val="none"/>
        </w:rPr>
        <w:t>二、一般公共预算拨款收入：</w:t>
      </w:r>
      <w:r>
        <w:rPr>
          <w:rFonts w:hint="eastAsia" w:ascii="Times New Roman" w:hAnsi="Times New Roman" w:eastAsia="仿宋_GB2312" w:cs="仿宋"/>
          <w:bCs/>
          <w:color w:val="auto"/>
          <w:sz w:val="30"/>
          <w:szCs w:val="30"/>
          <w:highlight w:val="none"/>
          <w:u w:val="none"/>
        </w:rPr>
        <w:t>指财政当年拨付的资金。</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三、财政专户管理资金：</w:t>
      </w:r>
      <w:r>
        <w:rPr>
          <w:rFonts w:hint="eastAsia" w:eastAsia="仿宋_GB2312" w:cstheme="minorBidi"/>
          <w:color w:val="auto"/>
          <w:sz w:val="32"/>
          <w:szCs w:val="32"/>
          <w:highlight w:val="none"/>
          <w:u w:val="none"/>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四、单位资金：</w:t>
      </w:r>
      <w:r>
        <w:rPr>
          <w:rFonts w:hint="eastAsia" w:eastAsia="仿宋_GB2312" w:cstheme="minorBidi"/>
          <w:color w:val="auto"/>
          <w:sz w:val="32"/>
          <w:szCs w:val="32"/>
          <w:highlight w:val="none"/>
          <w:u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五、基本支出：</w:t>
      </w:r>
      <w:r>
        <w:rPr>
          <w:rFonts w:hint="eastAsia" w:eastAsia="仿宋_GB2312" w:cstheme="minorBidi"/>
          <w:color w:val="auto"/>
          <w:sz w:val="32"/>
          <w:szCs w:val="32"/>
          <w:highlight w:val="none"/>
          <w:u w:val="none"/>
        </w:rPr>
        <w:t>指为保障机构正常运转、完成工作任务而发生的人员支出和公用支出。</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六、项目支出：</w:t>
      </w:r>
      <w:r>
        <w:rPr>
          <w:rFonts w:hint="eastAsia" w:eastAsia="仿宋_GB2312" w:cstheme="minorBidi"/>
          <w:color w:val="auto"/>
          <w:sz w:val="32"/>
          <w:szCs w:val="32"/>
          <w:highlight w:val="none"/>
          <w:u w:val="none"/>
        </w:rPr>
        <w:t>指在基本支出之外为完成特定工作任务和事业发展目标所发生的支出。</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七、对个人和家庭的补助：</w:t>
      </w:r>
      <w:r>
        <w:rPr>
          <w:rFonts w:hint="eastAsia" w:eastAsia="仿宋_GB2312" w:cstheme="minorBidi"/>
          <w:color w:val="auto"/>
          <w:sz w:val="32"/>
          <w:szCs w:val="32"/>
          <w:highlight w:val="none"/>
          <w:u w:val="none"/>
        </w:rPr>
        <w:t>是指政府用于对个人和家庭的补助支出。</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八、“三公”经费：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用一般公共预算财政拨款安排的因公出国（境）费、公务用车购置及运行维护费和公务接待费。其中，因公出国（境）费反映部门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公务出国（境）的住宿费、旅费、伙食补助费、杂费、培训费等支出；公务用车购置及运行维护费反映部门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公务用车购置费、燃料费、维修费、过路过桥费、保险费、安全奖励费用等支出；公务接待费反映部门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按规定开支的各类公务接待（含外宾接待）支出。</w:t>
      </w:r>
    </w:p>
    <w:p>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九、</w:t>
      </w:r>
      <w:r>
        <w:rPr>
          <w:rFonts w:hint="eastAsia" w:eastAsia="仿宋_GB2312" w:cstheme="minorBidi"/>
          <w:b/>
          <w:bCs/>
          <w:color w:val="auto"/>
          <w:sz w:val="32"/>
          <w:szCs w:val="32"/>
          <w:highlight w:val="none"/>
          <w:u w:val="none"/>
          <w:lang w:val="en-US" w:eastAsia="zh-CN"/>
        </w:rPr>
        <w:t>机构</w:t>
      </w:r>
      <w:r>
        <w:rPr>
          <w:rFonts w:hint="eastAsia" w:eastAsia="仿宋_GB2312" w:cstheme="minorBidi"/>
          <w:b/>
          <w:bCs/>
          <w:color w:val="auto"/>
          <w:sz w:val="32"/>
          <w:szCs w:val="32"/>
          <w:highlight w:val="none"/>
          <w:u w:val="none"/>
        </w:rPr>
        <w:t>运行经费：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color w:val="auto"/>
          <w:sz w:val="36"/>
          <w:szCs w:val="36"/>
          <w:highlight w:val="none"/>
          <w:u w:val="none"/>
        </w:rPr>
      </w:pPr>
    </w:p>
    <w:p>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3" w:name="_Toc21331"/>
      <w:r>
        <w:rPr>
          <w:rFonts w:hint="eastAsia" w:ascii="方正小标宋简体" w:hAnsi="方正小标宋简体" w:eastAsia="方正小标宋简体" w:cs="方正小标宋简体"/>
          <w:b w:val="0"/>
          <w:bCs w:val="0"/>
          <w:color w:val="auto"/>
          <w:sz w:val="36"/>
          <w:szCs w:val="36"/>
          <w:highlight w:val="none"/>
          <w:u w:val="none"/>
        </w:rPr>
        <w:t>第四部分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预算公开联系方式及信息反馈渠道</w:t>
      </w:r>
      <w:bookmarkEnd w:id="3"/>
    </w:p>
    <w:p>
      <w:pPr>
        <w:snapToGrid w:val="0"/>
        <w:spacing w:line="600" w:lineRule="exact"/>
        <w:rPr>
          <w:rFonts w:ascii="方正小标宋简体" w:hAnsi="方正小标宋简体" w:eastAsia="方正小标宋简体" w:cs="方正小标宋简体"/>
          <w:color w:val="auto"/>
          <w:sz w:val="36"/>
          <w:szCs w:val="36"/>
          <w:highlight w:val="none"/>
          <w:u w:val="none"/>
        </w:rPr>
      </w:pPr>
    </w:p>
    <w:p>
      <w:pPr>
        <w:snapToGrid w:val="0"/>
        <w:spacing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本单位预算公开信息反馈和联系方式：</w:t>
      </w:r>
    </w:p>
    <w:p>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联系人：</w:t>
      </w:r>
      <w:r>
        <w:rPr>
          <w:rFonts w:hint="eastAsia" w:ascii="仿宋_GB2312" w:hAnsi="仿宋_GB2312" w:eastAsia="仿宋_GB2312" w:cs="仿宋_GB2312"/>
          <w:color w:val="auto"/>
          <w:sz w:val="32"/>
          <w:szCs w:val="32"/>
          <w:highlight w:val="none"/>
          <w:u w:val="none"/>
          <w:lang w:val="en-US" w:eastAsia="zh-CN"/>
        </w:rPr>
        <w:t>凌子涵</w:t>
      </w:r>
      <w:r>
        <w:rPr>
          <w:rFonts w:hint="eastAsia" w:ascii="仿宋_GB2312" w:hAnsi="仿宋_GB2312" w:eastAsia="仿宋_GB2312" w:cs="仿宋_GB2312"/>
          <w:color w:val="auto"/>
          <w:sz w:val="32"/>
          <w:szCs w:val="32"/>
          <w:highlight w:val="none"/>
          <w:u w:val="none"/>
        </w:rPr>
        <w:t xml:space="preserve">           联系电话：</w:t>
      </w:r>
      <w:r>
        <w:rPr>
          <w:rFonts w:hint="eastAsia" w:ascii="仿宋_GB2312" w:hAnsi="仿宋_GB2312" w:eastAsia="仿宋_GB2312" w:cs="仿宋_GB2312"/>
          <w:color w:val="auto"/>
          <w:sz w:val="32"/>
          <w:szCs w:val="32"/>
          <w:highlight w:val="none"/>
          <w:u w:val="none"/>
          <w:lang w:val="en-US" w:eastAsia="zh-CN"/>
        </w:rPr>
        <w:t>0471-3451180</w:t>
      </w:r>
    </w:p>
    <w:p>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sectPr>
          <w:headerReference r:id="rId3" w:type="default"/>
          <w:footerReference r:id="rId4"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color w:val="auto"/>
          <w:sz w:val="32"/>
          <w:szCs w:val="32"/>
          <w:highlight w:val="none"/>
          <w:u w:val="none"/>
          <w:lang w:val="en-US" w:eastAsia="zh-CN"/>
        </w:rPr>
        <w:tab/>
      </w:r>
      <w:r>
        <w:rPr>
          <w:rFonts w:hint="eastAsia" w:ascii="仿宋_GB2312" w:hAnsi="仿宋_GB2312" w:eastAsia="仿宋_GB2312" w:cs="仿宋_GB2312"/>
          <w:color w:val="auto"/>
          <w:sz w:val="32"/>
          <w:szCs w:val="32"/>
          <w:highlight w:val="none"/>
          <w:u w:val="none"/>
          <w:lang w:val="en-US" w:eastAsia="zh-CN"/>
        </w:rPr>
        <w:t xml:space="preserve">       吴皆明</w:t>
      </w:r>
    </w:p>
    <w:p>
      <w:pPr>
        <w:pStyle w:val="18"/>
        <w:ind w:left="0" w:leftChars="0" w:firstLine="0"/>
        <w:rPr>
          <w:rFonts w:hint="default"/>
          <w:color w:val="auto"/>
          <w:highlight w:val="none"/>
          <w:u w:val="none"/>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rPr>
          <w:rFonts w:hint="default"/>
        </w:rPr>
      </w:pPr>
    </w:p>
    <w:p>
      <w:pPr>
        <w:bidi w:val="0"/>
        <w:jc w:val="left"/>
        <w:rPr>
          <w:rFonts w:hint="default"/>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61DE20E-5164-4E46-92C0-FE401712646D}"/>
  </w:font>
  <w:font w:name="黑体">
    <w:panose1 w:val="02010609060101010101"/>
    <w:charset w:val="86"/>
    <w:family w:val="auto"/>
    <w:pitch w:val="default"/>
    <w:sig w:usb0="800002BF" w:usb1="38CF7CFA" w:usb2="00000016" w:usb3="00000000" w:csb0="00040001" w:csb1="00000000"/>
    <w:embedRegular r:id="rId2" w:fontKey="{4D743139-560C-48E6-9A62-64D36BEABF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47C68759-5BCB-479A-9B6F-C17CFE4A8B1E}"/>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0FC45019-A462-4BC5-831E-7FA5E011EB1E}"/>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C3813A08-EB5A-4FFD-A7A6-6AB06644610E}"/>
  </w:font>
  <w:font w:name="仿宋">
    <w:panose1 w:val="02010609060101010101"/>
    <w:charset w:val="86"/>
    <w:family w:val="modern"/>
    <w:pitch w:val="default"/>
    <w:sig w:usb0="800002BF" w:usb1="38CF7CFA" w:usb2="00000016" w:usb3="00000000" w:csb0="00040001" w:csb1="00000000"/>
    <w:embedRegular r:id="rId6" w:fontKey="{0039D32E-2086-4CEC-AFA7-3C059117420D}"/>
  </w:font>
  <w:font w:name="楷体">
    <w:panose1 w:val="02010609060101010101"/>
    <w:charset w:val="86"/>
    <w:family w:val="modern"/>
    <w:pitch w:val="default"/>
    <w:sig w:usb0="800002BF" w:usb1="38CF7CFA" w:usb2="00000016" w:usb3="00000000" w:csb0="00040001" w:csb1="00000000"/>
    <w:embedRegular r:id="rId7" w:fontKey="{D5F0BDA3-FBE0-4B2D-9152-EC1E67522B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2336"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2336;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853614"/>
    <w:multiLevelType w:val="singleLevel"/>
    <w:tmpl w:val="CD853614"/>
    <w:lvl w:ilvl="0" w:tentative="0">
      <w:start w:val="1"/>
      <w:numFmt w:val="chineseCounting"/>
      <w:suff w:val="nothing"/>
      <w:lvlText w:val="（%1）"/>
      <w:lvlJc w:val="left"/>
      <w:rPr>
        <w:rFonts w:hint="eastAsia"/>
      </w:rPr>
    </w:lvl>
  </w:abstractNum>
  <w:abstractNum w:abstractNumId="1">
    <w:nsid w:val="3265B7C3"/>
    <w:multiLevelType w:val="singleLevel"/>
    <w:tmpl w:val="3265B7C3"/>
    <w:lvl w:ilvl="0" w:tentative="0">
      <w:start w:val="1"/>
      <w:numFmt w:val="chineseCounting"/>
      <w:suff w:val="nothing"/>
      <w:lvlText w:val="%1、"/>
      <w:lvlJc w:val="left"/>
      <w:rPr>
        <w:rFonts w:hint="eastAsia"/>
      </w:rPr>
    </w:lvl>
  </w:abstractNum>
  <w:abstractNum w:abstractNumId="2">
    <w:nsid w:val="35A38603"/>
    <w:multiLevelType w:val="singleLevel"/>
    <w:tmpl w:val="35A3860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mNTI4Nzc5MDlhMDJlMGUxYmRlNjQ2ZTA5OGIzNTIifQ=="/>
    <w:docVar w:name="KSO_WPS_MARK_KEY" w:val="40b0d9d7-e02d-411a-97f3-944b7efe51bf"/>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0863"/>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0024"/>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4949"/>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6664C"/>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C7C1D"/>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0BDE"/>
    <w:rsid w:val="00FC12FE"/>
    <w:rsid w:val="00FC1489"/>
    <w:rsid w:val="00FC3441"/>
    <w:rsid w:val="00FD1ED3"/>
    <w:rsid w:val="00FD6C28"/>
    <w:rsid w:val="00FE1287"/>
    <w:rsid w:val="00FE310B"/>
    <w:rsid w:val="00FE39B9"/>
    <w:rsid w:val="00FE6AD7"/>
    <w:rsid w:val="00FF1BA9"/>
    <w:rsid w:val="00FF5290"/>
    <w:rsid w:val="00FF60DC"/>
    <w:rsid w:val="01714809"/>
    <w:rsid w:val="017D4F5C"/>
    <w:rsid w:val="019C3A88"/>
    <w:rsid w:val="02287D7E"/>
    <w:rsid w:val="02824A0C"/>
    <w:rsid w:val="029C37A6"/>
    <w:rsid w:val="030E6553"/>
    <w:rsid w:val="03101E00"/>
    <w:rsid w:val="034760DE"/>
    <w:rsid w:val="0352059C"/>
    <w:rsid w:val="03960557"/>
    <w:rsid w:val="03C84930"/>
    <w:rsid w:val="03DF7E09"/>
    <w:rsid w:val="03E5503B"/>
    <w:rsid w:val="03E67E90"/>
    <w:rsid w:val="03EA4D45"/>
    <w:rsid w:val="043613A4"/>
    <w:rsid w:val="04402271"/>
    <w:rsid w:val="04615143"/>
    <w:rsid w:val="04706FFA"/>
    <w:rsid w:val="04754202"/>
    <w:rsid w:val="048320BB"/>
    <w:rsid w:val="04B563C2"/>
    <w:rsid w:val="04E20173"/>
    <w:rsid w:val="05453FE3"/>
    <w:rsid w:val="05531A54"/>
    <w:rsid w:val="05E53AA2"/>
    <w:rsid w:val="05F92C68"/>
    <w:rsid w:val="0620235A"/>
    <w:rsid w:val="063B5B32"/>
    <w:rsid w:val="06571B7A"/>
    <w:rsid w:val="06B10ACD"/>
    <w:rsid w:val="06C25923"/>
    <w:rsid w:val="071D11C9"/>
    <w:rsid w:val="077111CE"/>
    <w:rsid w:val="0772575A"/>
    <w:rsid w:val="07DA3A8F"/>
    <w:rsid w:val="07E13D6B"/>
    <w:rsid w:val="08316975"/>
    <w:rsid w:val="08510EF1"/>
    <w:rsid w:val="089D7C92"/>
    <w:rsid w:val="08FC2ADE"/>
    <w:rsid w:val="09381617"/>
    <w:rsid w:val="09663A90"/>
    <w:rsid w:val="09BB7E2B"/>
    <w:rsid w:val="09C92DD3"/>
    <w:rsid w:val="09CF6E4B"/>
    <w:rsid w:val="0A811BB3"/>
    <w:rsid w:val="0AB4609E"/>
    <w:rsid w:val="0AC91212"/>
    <w:rsid w:val="0ADE415D"/>
    <w:rsid w:val="0B1D155E"/>
    <w:rsid w:val="0B7D60D6"/>
    <w:rsid w:val="0BD554C2"/>
    <w:rsid w:val="0BF12E85"/>
    <w:rsid w:val="0BF56037"/>
    <w:rsid w:val="0C113BDB"/>
    <w:rsid w:val="0C63073D"/>
    <w:rsid w:val="0C7318E1"/>
    <w:rsid w:val="0C901A7D"/>
    <w:rsid w:val="0CCF6888"/>
    <w:rsid w:val="0CF960FB"/>
    <w:rsid w:val="0D0C188A"/>
    <w:rsid w:val="0D5B3431"/>
    <w:rsid w:val="0D5D5C42"/>
    <w:rsid w:val="0D7F10EF"/>
    <w:rsid w:val="0DD71E98"/>
    <w:rsid w:val="0E06452B"/>
    <w:rsid w:val="0E43752E"/>
    <w:rsid w:val="0EE32E18"/>
    <w:rsid w:val="0F121EF0"/>
    <w:rsid w:val="0F421526"/>
    <w:rsid w:val="101038B6"/>
    <w:rsid w:val="10196798"/>
    <w:rsid w:val="108B2ADA"/>
    <w:rsid w:val="11301FEB"/>
    <w:rsid w:val="11304CEB"/>
    <w:rsid w:val="114013AE"/>
    <w:rsid w:val="118916FB"/>
    <w:rsid w:val="11A7392F"/>
    <w:rsid w:val="11AF4DCB"/>
    <w:rsid w:val="11BD2408"/>
    <w:rsid w:val="11CB238C"/>
    <w:rsid w:val="11DF1890"/>
    <w:rsid w:val="12123D74"/>
    <w:rsid w:val="12237B08"/>
    <w:rsid w:val="126A6425"/>
    <w:rsid w:val="127C6B6A"/>
    <w:rsid w:val="127E6D86"/>
    <w:rsid w:val="12955111"/>
    <w:rsid w:val="12B427A8"/>
    <w:rsid w:val="12C54282"/>
    <w:rsid w:val="12CC6E6D"/>
    <w:rsid w:val="13806E42"/>
    <w:rsid w:val="13F56BD4"/>
    <w:rsid w:val="140E7482"/>
    <w:rsid w:val="14364D57"/>
    <w:rsid w:val="1440520B"/>
    <w:rsid w:val="14654E7D"/>
    <w:rsid w:val="14737EE6"/>
    <w:rsid w:val="149063EC"/>
    <w:rsid w:val="15082937"/>
    <w:rsid w:val="151A0368"/>
    <w:rsid w:val="15B50D11"/>
    <w:rsid w:val="15CA2436"/>
    <w:rsid w:val="16184994"/>
    <w:rsid w:val="16465E0D"/>
    <w:rsid w:val="165D6CB3"/>
    <w:rsid w:val="16AB5C70"/>
    <w:rsid w:val="16B94831"/>
    <w:rsid w:val="171071EA"/>
    <w:rsid w:val="174F62D6"/>
    <w:rsid w:val="17567CE5"/>
    <w:rsid w:val="175C51BC"/>
    <w:rsid w:val="17EE77F0"/>
    <w:rsid w:val="180F7034"/>
    <w:rsid w:val="183A0A1F"/>
    <w:rsid w:val="187A1D9E"/>
    <w:rsid w:val="188449CB"/>
    <w:rsid w:val="18D56A9E"/>
    <w:rsid w:val="18F602DF"/>
    <w:rsid w:val="18FC27B3"/>
    <w:rsid w:val="19006747"/>
    <w:rsid w:val="190525BE"/>
    <w:rsid w:val="19650358"/>
    <w:rsid w:val="196565AA"/>
    <w:rsid w:val="197113FE"/>
    <w:rsid w:val="198C1D89"/>
    <w:rsid w:val="199D6C9B"/>
    <w:rsid w:val="19C23937"/>
    <w:rsid w:val="1A342318"/>
    <w:rsid w:val="1A400CBF"/>
    <w:rsid w:val="1A8B2726"/>
    <w:rsid w:val="1A9E3268"/>
    <w:rsid w:val="1AA9566D"/>
    <w:rsid w:val="1AD0039B"/>
    <w:rsid w:val="1AFC1190"/>
    <w:rsid w:val="1AFE6CB6"/>
    <w:rsid w:val="1B4437A3"/>
    <w:rsid w:val="1B74013C"/>
    <w:rsid w:val="1B7900EB"/>
    <w:rsid w:val="1B811F55"/>
    <w:rsid w:val="1BCA1848"/>
    <w:rsid w:val="1BCB4126"/>
    <w:rsid w:val="1BE539D2"/>
    <w:rsid w:val="1C652E9E"/>
    <w:rsid w:val="1C762227"/>
    <w:rsid w:val="1CD74ACF"/>
    <w:rsid w:val="1CDC3027"/>
    <w:rsid w:val="1CE974F2"/>
    <w:rsid w:val="1CF57C45"/>
    <w:rsid w:val="1CFA34AD"/>
    <w:rsid w:val="1D9F120E"/>
    <w:rsid w:val="1DB055BD"/>
    <w:rsid w:val="1E0D2BED"/>
    <w:rsid w:val="1E591AD6"/>
    <w:rsid w:val="1E622C59"/>
    <w:rsid w:val="1E674B72"/>
    <w:rsid w:val="1E7B37A5"/>
    <w:rsid w:val="1EA44D1C"/>
    <w:rsid w:val="1EB0258C"/>
    <w:rsid w:val="1ECD2D49"/>
    <w:rsid w:val="1F14499E"/>
    <w:rsid w:val="1F5B26C7"/>
    <w:rsid w:val="1F5C044F"/>
    <w:rsid w:val="1FF450C0"/>
    <w:rsid w:val="203A4DF7"/>
    <w:rsid w:val="204326FB"/>
    <w:rsid w:val="20793160"/>
    <w:rsid w:val="208714FC"/>
    <w:rsid w:val="20E00C0C"/>
    <w:rsid w:val="21114778"/>
    <w:rsid w:val="21430A11"/>
    <w:rsid w:val="215A4BDB"/>
    <w:rsid w:val="217C0CE7"/>
    <w:rsid w:val="21962D82"/>
    <w:rsid w:val="219D221A"/>
    <w:rsid w:val="21AB33D9"/>
    <w:rsid w:val="223A41F0"/>
    <w:rsid w:val="224109E7"/>
    <w:rsid w:val="224F2695"/>
    <w:rsid w:val="227A6216"/>
    <w:rsid w:val="227E7DB1"/>
    <w:rsid w:val="22CA56D0"/>
    <w:rsid w:val="22EB689E"/>
    <w:rsid w:val="231A341A"/>
    <w:rsid w:val="2346744C"/>
    <w:rsid w:val="234F5BD5"/>
    <w:rsid w:val="235E2371"/>
    <w:rsid w:val="23697186"/>
    <w:rsid w:val="238A3C26"/>
    <w:rsid w:val="238B30B1"/>
    <w:rsid w:val="23B51EDC"/>
    <w:rsid w:val="24214F8F"/>
    <w:rsid w:val="248F38ED"/>
    <w:rsid w:val="249C2E00"/>
    <w:rsid w:val="24B147FA"/>
    <w:rsid w:val="251F5A1E"/>
    <w:rsid w:val="257D1F44"/>
    <w:rsid w:val="259124D5"/>
    <w:rsid w:val="25B54415"/>
    <w:rsid w:val="260B04D9"/>
    <w:rsid w:val="265A320F"/>
    <w:rsid w:val="26B92D9B"/>
    <w:rsid w:val="26C07516"/>
    <w:rsid w:val="26DD358D"/>
    <w:rsid w:val="274160AD"/>
    <w:rsid w:val="27623B5F"/>
    <w:rsid w:val="27624129"/>
    <w:rsid w:val="27D72A06"/>
    <w:rsid w:val="27E70F59"/>
    <w:rsid w:val="27F62AEE"/>
    <w:rsid w:val="281C077C"/>
    <w:rsid w:val="283223CC"/>
    <w:rsid w:val="2866365B"/>
    <w:rsid w:val="28E50C7F"/>
    <w:rsid w:val="28EB2659"/>
    <w:rsid w:val="28EC345C"/>
    <w:rsid w:val="29202FD3"/>
    <w:rsid w:val="298F3464"/>
    <w:rsid w:val="2A44220C"/>
    <w:rsid w:val="2A4D2ACE"/>
    <w:rsid w:val="2AB14810"/>
    <w:rsid w:val="2ACD0A78"/>
    <w:rsid w:val="2AD3072D"/>
    <w:rsid w:val="2B0025D7"/>
    <w:rsid w:val="2B5D3585"/>
    <w:rsid w:val="2B6C7C6C"/>
    <w:rsid w:val="2BA507FA"/>
    <w:rsid w:val="2BBE7027"/>
    <w:rsid w:val="2BBF5FEE"/>
    <w:rsid w:val="2BDD6474"/>
    <w:rsid w:val="2C0B54C5"/>
    <w:rsid w:val="2C292017"/>
    <w:rsid w:val="2C540D07"/>
    <w:rsid w:val="2C6375F7"/>
    <w:rsid w:val="2C8E3C12"/>
    <w:rsid w:val="2CAC4BA2"/>
    <w:rsid w:val="2CB35C78"/>
    <w:rsid w:val="2CDF446E"/>
    <w:rsid w:val="2CF23FA9"/>
    <w:rsid w:val="2CF40890"/>
    <w:rsid w:val="2D1719A4"/>
    <w:rsid w:val="2D2E420C"/>
    <w:rsid w:val="2DDE509E"/>
    <w:rsid w:val="2E652751"/>
    <w:rsid w:val="2EDC6EB7"/>
    <w:rsid w:val="2F204A26"/>
    <w:rsid w:val="2F3045A4"/>
    <w:rsid w:val="2F567AA0"/>
    <w:rsid w:val="2FAE3FB1"/>
    <w:rsid w:val="30004E27"/>
    <w:rsid w:val="301645BB"/>
    <w:rsid w:val="30302844"/>
    <w:rsid w:val="30410981"/>
    <w:rsid w:val="30654C8A"/>
    <w:rsid w:val="309F5392"/>
    <w:rsid w:val="30B4367E"/>
    <w:rsid w:val="30DD02DC"/>
    <w:rsid w:val="30F524B2"/>
    <w:rsid w:val="313D3E0A"/>
    <w:rsid w:val="3149205F"/>
    <w:rsid w:val="315F16D9"/>
    <w:rsid w:val="3161171F"/>
    <w:rsid w:val="319A28B2"/>
    <w:rsid w:val="32696CB3"/>
    <w:rsid w:val="3276083D"/>
    <w:rsid w:val="329A3661"/>
    <w:rsid w:val="32CA771E"/>
    <w:rsid w:val="32D16C5C"/>
    <w:rsid w:val="330B6D05"/>
    <w:rsid w:val="339B19D0"/>
    <w:rsid w:val="33A960A0"/>
    <w:rsid w:val="33D043A5"/>
    <w:rsid w:val="33D600AF"/>
    <w:rsid w:val="33EE2317"/>
    <w:rsid w:val="33FE78CF"/>
    <w:rsid w:val="343706EB"/>
    <w:rsid w:val="34586FDF"/>
    <w:rsid w:val="34830C48"/>
    <w:rsid w:val="348C4016"/>
    <w:rsid w:val="34BF0E0C"/>
    <w:rsid w:val="34FE36A0"/>
    <w:rsid w:val="3508551A"/>
    <w:rsid w:val="355A0B35"/>
    <w:rsid w:val="35841C19"/>
    <w:rsid w:val="359C0F7A"/>
    <w:rsid w:val="35A900B2"/>
    <w:rsid w:val="35CB5FBA"/>
    <w:rsid w:val="35DF47C9"/>
    <w:rsid w:val="35E113E3"/>
    <w:rsid w:val="360A4309"/>
    <w:rsid w:val="362759D7"/>
    <w:rsid w:val="370B120F"/>
    <w:rsid w:val="3725656C"/>
    <w:rsid w:val="37757EA8"/>
    <w:rsid w:val="37776170"/>
    <w:rsid w:val="37781747"/>
    <w:rsid w:val="37847CCD"/>
    <w:rsid w:val="378B37C3"/>
    <w:rsid w:val="379A7F64"/>
    <w:rsid w:val="37C001F2"/>
    <w:rsid w:val="37CD2E49"/>
    <w:rsid w:val="37E1553E"/>
    <w:rsid w:val="38044D88"/>
    <w:rsid w:val="380543FC"/>
    <w:rsid w:val="381C1DAF"/>
    <w:rsid w:val="382B35B4"/>
    <w:rsid w:val="384C426B"/>
    <w:rsid w:val="38E946AA"/>
    <w:rsid w:val="391F2E54"/>
    <w:rsid w:val="3941563D"/>
    <w:rsid w:val="39423DBA"/>
    <w:rsid w:val="39665CFB"/>
    <w:rsid w:val="39994758"/>
    <w:rsid w:val="3A045513"/>
    <w:rsid w:val="3A5E423D"/>
    <w:rsid w:val="3AE332B3"/>
    <w:rsid w:val="3B071D45"/>
    <w:rsid w:val="3B136ADE"/>
    <w:rsid w:val="3B2E2790"/>
    <w:rsid w:val="3B8331C0"/>
    <w:rsid w:val="3BA725FA"/>
    <w:rsid w:val="3BB54959"/>
    <w:rsid w:val="3C497E28"/>
    <w:rsid w:val="3C4B11D8"/>
    <w:rsid w:val="3C4F6F1A"/>
    <w:rsid w:val="3C504816"/>
    <w:rsid w:val="3C8C247C"/>
    <w:rsid w:val="3CC66AB0"/>
    <w:rsid w:val="3CD016DD"/>
    <w:rsid w:val="3D276890"/>
    <w:rsid w:val="3D514278"/>
    <w:rsid w:val="3D624A2B"/>
    <w:rsid w:val="3D65545B"/>
    <w:rsid w:val="3DD376D7"/>
    <w:rsid w:val="3DFB2CDF"/>
    <w:rsid w:val="3DFC0228"/>
    <w:rsid w:val="3E124D83"/>
    <w:rsid w:val="3E200906"/>
    <w:rsid w:val="3E545486"/>
    <w:rsid w:val="3E68129D"/>
    <w:rsid w:val="3E770A56"/>
    <w:rsid w:val="3E7C6D69"/>
    <w:rsid w:val="3E7F160D"/>
    <w:rsid w:val="3E9B2376"/>
    <w:rsid w:val="3EB83A8B"/>
    <w:rsid w:val="3EE51A3E"/>
    <w:rsid w:val="3EF20030"/>
    <w:rsid w:val="3F4D512E"/>
    <w:rsid w:val="3F79189D"/>
    <w:rsid w:val="3F874C1D"/>
    <w:rsid w:val="3FA119B7"/>
    <w:rsid w:val="3FC96FE3"/>
    <w:rsid w:val="3FE32777"/>
    <w:rsid w:val="400D3374"/>
    <w:rsid w:val="40177DE3"/>
    <w:rsid w:val="40371D16"/>
    <w:rsid w:val="407A192C"/>
    <w:rsid w:val="4093098F"/>
    <w:rsid w:val="40D3768B"/>
    <w:rsid w:val="4110479E"/>
    <w:rsid w:val="417A1877"/>
    <w:rsid w:val="4186089B"/>
    <w:rsid w:val="42654E02"/>
    <w:rsid w:val="427C0258"/>
    <w:rsid w:val="42EF614C"/>
    <w:rsid w:val="43212C92"/>
    <w:rsid w:val="432253DD"/>
    <w:rsid w:val="432E715D"/>
    <w:rsid w:val="43863DDA"/>
    <w:rsid w:val="43D011EA"/>
    <w:rsid w:val="43FE4D82"/>
    <w:rsid w:val="44127405"/>
    <w:rsid w:val="441477C8"/>
    <w:rsid w:val="442364AE"/>
    <w:rsid w:val="444035EC"/>
    <w:rsid w:val="444939F2"/>
    <w:rsid w:val="444C01E3"/>
    <w:rsid w:val="44557E80"/>
    <w:rsid w:val="445B1AA2"/>
    <w:rsid w:val="4473408E"/>
    <w:rsid w:val="450308A1"/>
    <w:rsid w:val="450E5C39"/>
    <w:rsid w:val="454F361F"/>
    <w:rsid w:val="45551365"/>
    <w:rsid w:val="45CD7101"/>
    <w:rsid w:val="461D2940"/>
    <w:rsid w:val="46432A96"/>
    <w:rsid w:val="46484442"/>
    <w:rsid w:val="46501852"/>
    <w:rsid w:val="466C2476"/>
    <w:rsid w:val="47354F5E"/>
    <w:rsid w:val="475B66AF"/>
    <w:rsid w:val="476F66C2"/>
    <w:rsid w:val="47867568"/>
    <w:rsid w:val="47B01446"/>
    <w:rsid w:val="47CC27EE"/>
    <w:rsid w:val="47F95F8C"/>
    <w:rsid w:val="480C3F11"/>
    <w:rsid w:val="482809DA"/>
    <w:rsid w:val="4881312E"/>
    <w:rsid w:val="48965ED0"/>
    <w:rsid w:val="489B5295"/>
    <w:rsid w:val="48C447EC"/>
    <w:rsid w:val="491E1806"/>
    <w:rsid w:val="49575660"/>
    <w:rsid w:val="495E7B70"/>
    <w:rsid w:val="496B47B7"/>
    <w:rsid w:val="4A0B7731"/>
    <w:rsid w:val="4A21248F"/>
    <w:rsid w:val="4A63245A"/>
    <w:rsid w:val="4A9A751F"/>
    <w:rsid w:val="4AB8212E"/>
    <w:rsid w:val="4AC05A5A"/>
    <w:rsid w:val="4AE10089"/>
    <w:rsid w:val="4B022328"/>
    <w:rsid w:val="4B15132F"/>
    <w:rsid w:val="4B384AFB"/>
    <w:rsid w:val="4B3A3DE4"/>
    <w:rsid w:val="4B6217B9"/>
    <w:rsid w:val="4B701FD3"/>
    <w:rsid w:val="4B77032C"/>
    <w:rsid w:val="4BCA4DC2"/>
    <w:rsid w:val="4BD125AC"/>
    <w:rsid w:val="4BD340D8"/>
    <w:rsid w:val="4C044CA2"/>
    <w:rsid w:val="4C2B6930"/>
    <w:rsid w:val="4C360546"/>
    <w:rsid w:val="4C51545C"/>
    <w:rsid w:val="4C983286"/>
    <w:rsid w:val="4CD6552E"/>
    <w:rsid w:val="4CE4720A"/>
    <w:rsid w:val="4CFF75D5"/>
    <w:rsid w:val="4D080842"/>
    <w:rsid w:val="4D1F2012"/>
    <w:rsid w:val="4D8D65E2"/>
    <w:rsid w:val="4DAE5F5E"/>
    <w:rsid w:val="4DF60D20"/>
    <w:rsid w:val="4E45017D"/>
    <w:rsid w:val="4E6B5729"/>
    <w:rsid w:val="4EA404FD"/>
    <w:rsid w:val="4EBE3A8B"/>
    <w:rsid w:val="4FA56487"/>
    <w:rsid w:val="4FA9473B"/>
    <w:rsid w:val="4FC44EDC"/>
    <w:rsid w:val="4FCA1BB7"/>
    <w:rsid w:val="4FF051A0"/>
    <w:rsid w:val="4FFA00C2"/>
    <w:rsid w:val="50141FA4"/>
    <w:rsid w:val="507506FE"/>
    <w:rsid w:val="50AF18DD"/>
    <w:rsid w:val="50D954C3"/>
    <w:rsid w:val="50FE2791"/>
    <w:rsid w:val="51057A2C"/>
    <w:rsid w:val="515210A3"/>
    <w:rsid w:val="51752B27"/>
    <w:rsid w:val="51AE1584"/>
    <w:rsid w:val="51B51175"/>
    <w:rsid w:val="51D61265"/>
    <w:rsid w:val="520B348B"/>
    <w:rsid w:val="52360995"/>
    <w:rsid w:val="52554706"/>
    <w:rsid w:val="52950FA7"/>
    <w:rsid w:val="52B4767F"/>
    <w:rsid w:val="52C12FB4"/>
    <w:rsid w:val="52D65A4D"/>
    <w:rsid w:val="53307DE8"/>
    <w:rsid w:val="535B5D4C"/>
    <w:rsid w:val="53866EE0"/>
    <w:rsid w:val="538F587F"/>
    <w:rsid w:val="544E2FF3"/>
    <w:rsid w:val="54791DE5"/>
    <w:rsid w:val="54BD0670"/>
    <w:rsid w:val="551C55B1"/>
    <w:rsid w:val="55540DB3"/>
    <w:rsid w:val="55807CEC"/>
    <w:rsid w:val="55BB0FC4"/>
    <w:rsid w:val="55D63612"/>
    <w:rsid w:val="564E3947"/>
    <w:rsid w:val="567F7FA4"/>
    <w:rsid w:val="56C113D0"/>
    <w:rsid w:val="56CB143B"/>
    <w:rsid w:val="56D56727"/>
    <w:rsid w:val="56E83D9B"/>
    <w:rsid w:val="56EF35DE"/>
    <w:rsid w:val="56F73FDE"/>
    <w:rsid w:val="57B27F05"/>
    <w:rsid w:val="57DF1880"/>
    <w:rsid w:val="57E05BE1"/>
    <w:rsid w:val="58346A24"/>
    <w:rsid w:val="585B059D"/>
    <w:rsid w:val="58F72073"/>
    <w:rsid w:val="59464DA9"/>
    <w:rsid w:val="59582D13"/>
    <w:rsid w:val="59654F1B"/>
    <w:rsid w:val="59F82547"/>
    <w:rsid w:val="5A4716C0"/>
    <w:rsid w:val="5A4A08C9"/>
    <w:rsid w:val="5A592B81"/>
    <w:rsid w:val="5A601E9A"/>
    <w:rsid w:val="5A637F59"/>
    <w:rsid w:val="5A8E6B50"/>
    <w:rsid w:val="5AE859CD"/>
    <w:rsid w:val="5B526E3B"/>
    <w:rsid w:val="5B7F52B4"/>
    <w:rsid w:val="5C146454"/>
    <w:rsid w:val="5C8D47B8"/>
    <w:rsid w:val="5D176670"/>
    <w:rsid w:val="5D355860"/>
    <w:rsid w:val="5D635F29"/>
    <w:rsid w:val="5DB42246"/>
    <w:rsid w:val="5DBC1ADE"/>
    <w:rsid w:val="5DE442A1"/>
    <w:rsid w:val="5E0D2C7D"/>
    <w:rsid w:val="5E2C755E"/>
    <w:rsid w:val="5E4A6AF2"/>
    <w:rsid w:val="5EFB5FCF"/>
    <w:rsid w:val="5F185E67"/>
    <w:rsid w:val="5F4E6765"/>
    <w:rsid w:val="5F912EFC"/>
    <w:rsid w:val="5FA752A4"/>
    <w:rsid w:val="5FB966D4"/>
    <w:rsid w:val="5FD0312C"/>
    <w:rsid w:val="5FF94273"/>
    <w:rsid w:val="60032F94"/>
    <w:rsid w:val="60033B95"/>
    <w:rsid w:val="60532394"/>
    <w:rsid w:val="605C4EB2"/>
    <w:rsid w:val="609346F9"/>
    <w:rsid w:val="60976762"/>
    <w:rsid w:val="60E87DCD"/>
    <w:rsid w:val="615674ED"/>
    <w:rsid w:val="619C4373"/>
    <w:rsid w:val="62202150"/>
    <w:rsid w:val="62255EA3"/>
    <w:rsid w:val="62391AF7"/>
    <w:rsid w:val="629B6165"/>
    <w:rsid w:val="62FC28B2"/>
    <w:rsid w:val="633F11E7"/>
    <w:rsid w:val="635001EF"/>
    <w:rsid w:val="637048DB"/>
    <w:rsid w:val="63D0272B"/>
    <w:rsid w:val="64834717"/>
    <w:rsid w:val="64AA146F"/>
    <w:rsid w:val="64F629E2"/>
    <w:rsid w:val="650B1EAB"/>
    <w:rsid w:val="65335497"/>
    <w:rsid w:val="65431800"/>
    <w:rsid w:val="654A7869"/>
    <w:rsid w:val="65841133"/>
    <w:rsid w:val="659956F1"/>
    <w:rsid w:val="65D379C4"/>
    <w:rsid w:val="65D76172"/>
    <w:rsid w:val="66C77325"/>
    <w:rsid w:val="66CE3288"/>
    <w:rsid w:val="678673E4"/>
    <w:rsid w:val="679715F1"/>
    <w:rsid w:val="684D3A5E"/>
    <w:rsid w:val="68686AEA"/>
    <w:rsid w:val="68931D4F"/>
    <w:rsid w:val="689659F3"/>
    <w:rsid w:val="68996CA3"/>
    <w:rsid w:val="68C33D20"/>
    <w:rsid w:val="68C6406F"/>
    <w:rsid w:val="691B590A"/>
    <w:rsid w:val="69205616"/>
    <w:rsid w:val="69270753"/>
    <w:rsid w:val="69A91168"/>
    <w:rsid w:val="69CB37D4"/>
    <w:rsid w:val="69D501AF"/>
    <w:rsid w:val="6A1638AD"/>
    <w:rsid w:val="6A3944D6"/>
    <w:rsid w:val="6A411797"/>
    <w:rsid w:val="6B3C0F88"/>
    <w:rsid w:val="6B4551DF"/>
    <w:rsid w:val="6B8D733F"/>
    <w:rsid w:val="6B9E2823"/>
    <w:rsid w:val="6BBD714D"/>
    <w:rsid w:val="6BC90267"/>
    <w:rsid w:val="6BC935EB"/>
    <w:rsid w:val="6C0134DD"/>
    <w:rsid w:val="6C1D59BA"/>
    <w:rsid w:val="6C2C6080"/>
    <w:rsid w:val="6C865790"/>
    <w:rsid w:val="6C992C34"/>
    <w:rsid w:val="6CA95923"/>
    <w:rsid w:val="6CDF45CD"/>
    <w:rsid w:val="6D3F2110"/>
    <w:rsid w:val="6D7418A4"/>
    <w:rsid w:val="6D756958"/>
    <w:rsid w:val="6DCF760B"/>
    <w:rsid w:val="6DEA61F3"/>
    <w:rsid w:val="6E1C2F95"/>
    <w:rsid w:val="6E2A38BB"/>
    <w:rsid w:val="6E3B0A20"/>
    <w:rsid w:val="6F046E40"/>
    <w:rsid w:val="6F060FC5"/>
    <w:rsid w:val="6F4436E1"/>
    <w:rsid w:val="6FB46AB9"/>
    <w:rsid w:val="70227EC6"/>
    <w:rsid w:val="702C43E6"/>
    <w:rsid w:val="704D41BE"/>
    <w:rsid w:val="705F6805"/>
    <w:rsid w:val="709754C7"/>
    <w:rsid w:val="71035C45"/>
    <w:rsid w:val="711835B9"/>
    <w:rsid w:val="71542301"/>
    <w:rsid w:val="718323E3"/>
    <w:rsid w:val="718B3849"/>
    <w:rsid w:val="719A58E8"/>
    <w:rsid w:val="725C51D2"/>
    <w:rsid w:val="72C464D5"/>
    <w:rsid w:val="72E90ED3"/>
    <w:rsid w:val="73243B96"/>
    <w:rsid w:val="734D5BB3"/>
    <w:rsid w:val="73663647"/>
    <w:rsid w:val="7377015A"/>
    <w:rsid w:val="73966C01"/>
    <w:rsid w:val="739D2BFF"/>
    <w:rsid w:val="73B77D0C"/>
    <w:rsid w:val="73C37269"/>
    <w:rsid w:val="73F25D2E"/>
    <w:rsid w:val="74027DBB"/>
    <w:rsid w:val="746F6794"/>
    <w:rsid w:val="74856C75"/>
    <w:rsid w:val="752419D7"/>
    <w:rsid w:val="7526130E"/>
    <w:rsid w:val="75276C4C"/>
    <w:rsid w:val="75A62E64"/>
    <w:rsid w:val="75B4228D"/>
    <w:rsid w:val="75BB53FD"/>
    <w:rsid w:val="75E96582"/>
    <w:rsid w:val="75EE331A"/>
    <w:rsid w:val="764531F5"/>
    <w:rsid w:val="76466B91"/>
    <w:rsid w:val="76470CAA"/>
    <w:rsid w:val="764D1082"/>
    <w:rsid w:val="76696582"/>
    <w:rsid w:val="766F2799"/>
    <w:rsid w:val="76992564"/>
    <w:rsid w:val="76BF021D"/>
    <w:rsid w:val="76F123A0"/>
    <w:rsid w:val="76FC63AD"/>
    <w:rsid w:val="77132317"/>
    <w:rsid w:val="772C5186"/>
    <w:rsid w:val="773B6256"/>
    <w:rsid w:val="774C0D1D"/>
    <w:rsid w:val="7768617D"/>
    <w:rsid w:val="776D5ECB"/>
    <w:rsid w:val="77D55B0E"/>
    <w:rsid w:val="77E837A3"/>
    <w:rsid w:val="77EB6934"/>
    <w:rsid w:val="780B7492"/>
    <w:rsid w:val="782263B1"/>
    <w:rsid w:val="79197DDA"/>
    <w:rsid w:val="792C0FD8"/>
    <w:rsid w:val="79AA25BE"/>
    <w:rsid w:val="79D745FF"/>
    <w:rsid w:val="7A3C0663"/>
    <w:rsid w:val="7A716DAA"/>
    <w:rsid w:val="7AB3715F"/>
    <w:rsid w:val="7AC758F2"/>
    <w:rsid w:val="7AE45D36"/>
    <w:rsid w:val="7AE77D42"/>
    <w:rsid w:val="7BA45C33"/>
    <w:rsid w:val="7BB25107"/>
    <w:rsid w:val="7BFB1265"/>
    <w:rsid w:val="7C6F4493"/>
    <w:rsid w:val="7CFD1A9F"/>
    <w:rsid w:val="7D07233B"/>
    <w:rsid w:val="7D1B6488"/>
    <w:rsid w:val="7D40391F"/>
    <w:rsid w:val="7D945CD3"/>
    <w:rsid w:val="7DD722F0"/>
    <w:rsid w:val="7DD81BC4"/>
    <w:rsid w:val="7DF96BCA"/>
    <w:rsid w:val="7E1251F4"/>
    <w:rsid w:val="7E1C2E5A"/>
    <w:rsid w:val="7E1C41A7"/>
    <w:rsid w:val="7E357016"/>
    <w:rsid w:val="7E6416AA"/>
    <w:rsid w:val="7EE66F59"/>
    <w:rsid w:val="7F194DAD"/>
    <w:rsid w:val="7F1A6E76"/>
    <w:rsid w:val="7F1F783D"/>
    <w:rsid w:val="7FAF396D"/>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1"/>
    <w:basedOn w:val="1"/>
    <w:next w:val="1"/>
    <w:qFormat/>
    <w:uiPriority w:val="1"/>
    <w:pPr>
      <w:keepNext/>
      <w:keepLines/>
      <w:spacing w:before="340" w:after="330" w:line="576" w:lineRule="auto"/>
      <w:outlineLvl w:val="0"/>
    </w:pPr>
    <w:rPr>
      <w:b/>
      <w:kern w:val="44"/>
      <w:sz w:val="44"/>
    </w:rPr>
  </w:style>
  <w:style w:type="paragraph" w:styleId="3">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4">
    <w:name w:val="heading 3"/>
    <w:basedOn w:val="1"/>
    <w:next w:val="1"/>
    <w:unhideWhenUsed/>
    <w:qFormat/>
    <w:uiPriority w:val="1"/>
    <w:pPr>
      <w:keepNext/>
      <w:keepLines/>
      <w:spacing w:before="260" w:after="260" w:line="413" w:lineRule="auto"/>
      <w:outlineLvl w:val="2"/>
    </w:pPr>
    <w:rPr>
      <w:b/>
      <w:sz w:val="32"/>
    </w:rPr>
  </w:style>
  <w:style w:type="paragraph" w:styleId="5">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spacing w:line="360" w:lineRule="auto"/>
      <w:ind w:firstLine="420" w:firstLineChars="200"/>
      <w:jc w:val="left"/>
    </w:pPr>
    <w:rPr>
      <w:rFonts w:ascii="仿宋_GB2312" w:hAnsi="Arial" w:eastAsia="仿宋_GB2312"/>
      <w:kern w:val="0"/>
      <w:sz w:val="30"/>
      <w:szCs w:val="30"/>
    </w:rPr>
  </w:style>
  <w:style w:type="paragraph" w:styleId="8">
    <w:name w:val="Body Text"/>
    <w:basedOn w:val="1"/>
    <w:link w:val="34"/>
    <w:unhideWhenUsed/>
    <w:qFormat/>
    <w:uiPriority w:val="1"/>
    <w:pPr>
      <w:spacing w:after="120"/>
    </w:pPr>
  </w:style>
  <w:style w:type="paragraph" w:styleId="9">
    <w:name w:val="annotation text"/>
    <w:basedOn w:val="1"/>
    <w:link w:val="26"/>
    <w:unhideWhenUsed/>
    <w:qFormat/>
    <w:uiPriority w:val="99"/>
    <w:pPr>
      <w:jc w:val="left"/>
    </w:pPr>
  </w:style>
  <w:style w:type="paragraph" w:styleId="10">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5">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6">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7">
    <w:name w:val="annotation subject"/>
    <w:basedOn w:val="9"/>
    <w:next w:val="9"/>
    <w:link w:val="27"/>
    <w:semiHidden/>
    <w:unhideWhenUsed/>
    <w:qFormat/>
    <w:uiPriority w:val="99"/>
    <w:rPr>
      <w:b/>
      <w:bCs/>
    </w:rPr>
  </w:style>
  <w:style w:type="paragraph" w:styleId="18">
    <w:name w:val="Body Text First Indent 2"/>
    <w:basedOn w:val="10"/>
    <w:qFormat/>
    <w:uiPriority w:val="0"/>
    <w:pPr>
      <w:ind w:firstLine="420"/>
    </w:p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3"/>
    <w:qFormat/>
    <w:uiPriority w:val="99"/>
    <w:rPr>
      <w:sz w:val="18"/>
      <w:szCs w:val="18"/>
    </w:rPr>
  </w:style>
  <w:style w:type="character" w:customStyle="1" w:styleId="25">
    <w:name w:val="页脚 Char"/>
    <w:basedOn w:val="21"/>
    <w:link w:val="12"/>
    <w:qFormat/>
    <w:uiPriority w:val="99"/>
    <w:rPr>
      <w:sz w:val="18"/>
      <w:szCs w:val="18"/>
    </w:rPr>
  </w:style>
  <w:style w:type="character" w:customStyle="1" w:styleId="26">
    <w:name w:val="批注文字 Char"/>
    <w:basedOn w:val="21"/>
    <w:link w:val="9"/>
    <w:qFormat/>
    <w:uiPriority w:val="99"/>
    <w:rPr>
      <w:rFonts w:ascii="Times New Roman" w:hAnsi="Times New Roman" w:eastAsia="Courier New" w:cs="Times New Roman"/>
      <w:szCs w:val="21"/>
    </w:rPr>
  </w:style>
  <w:style w:type="character" w:customStyle="1" w:styleId="27">
    <w:name w:val="批注主题 Char"/>
    <w:basedOn w:val="26"/>
    <w:link w:val="17"/>
    <w:semiHidden/>
    <w:qFormat/>
    <w:uiPriority w:val="99"/>
    <w:rPr>
      <w:rFonts w:ascii="Times New Roman" w:hAnsi="Times New Roman" w:eastAsia="Courier New" w:cs="Times New Roman"/>
      <w:b/>
      <w:bCs/>
      <w:szCs w:val="21"/>
    </w:rPr>
  </w:style>
  <w:style w:type="paragraph" w:customStyle="1" w:styleId="28">
    <w:name w:val="独立格式"/>
    <w:basedOn w:val="15"/>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5"/>
    <w:qFormat/>
    <w:uiPriority w:val="11"/>
    <w:rPr>
      <w:b/>
      <w:bCs/>
      <w:kern w:val="28"/>
      <w:sz w:val="32"/>
      <w:szCs w:val="32"/>
    </w:rPr>
  </w:style>
  <w:style w:type="character" w:customStyle="1" w:styleId="30">
    <w:name w:val="标题 2 Char"/>
    <w:basedOn w:val="21"/>
    <w:link w:val="3"/>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6"/>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8"/>
    <w:semiHidden/>
    <w:qFormat/>
    <w:uiPriority w:val="99"/>
    <w:rPr>
      <w:rFonts w:ascii="Times New Roman" w:hAnsi="Times New Roman" w:eastAsia="Courier New" w:cs="Times New Roman"/>
      <w:szCs w:val="21"/>
    </w:rPr>
  </w:style>
  <w:style w:type="character" w:customStyle="1" w:styleId="35">
    <w:name w:val="标题 4 Char"/>
    <w:basedOn w:val="21"/>
    <w:link w:val="5"/>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1"/>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2425"/>
          <c:y val="0.17265"/>
          <c:w val="0.50215"/>
          <c:h val="0.669533333333333"/>
        </c:manualLayout>
      </c:layout>
      <c:pieChart>
        <c:varyColors val="1"/>
        <c:ser>
          <c:idx val="0"/>
          <c:order val="0"/>
          <c:tx>
            <c:strRef>
              <c:f>Sheet1!$B$1</c:f>
              <c:strCache>
                <c:ptCount val="1"/>
                <c:pt idx="0">
                  <c:v>预算收入</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22347717525209"/>
                  <c:y val="-0.04881103392998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936267237081435"/>
                  <c:y val="-0.03513087927058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本年度一般公共预算收入</c:v>
                </c:pt>
                <c:pt idx="1">
                  <c:v>本年度事业收入</c:v>
                </c:pt>
                <c:pt idx="2">
                  <c:v>上年结转结余一般公共预算收入</c:v>
                </c:pt>
              </c:strCache>
            </c:strRef>
          </c:cat>
          <c:val>
            <c:numRef>
              <c:f>Sheet1!$B$2:$B$4</c:f>
              <c:numCache>
                <c:formatCode>General</c:formatCode>
                <c:ptCount val="3"/>
                <c:pt idx="0">
                  <c:v>13270.4</c:v>
                </c:pt>
                <c:pt idx="1">
                  <c:v>320000</c:v>
                </c:pt>
                <c:pt idx="2">
                  <c:v>2415.06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预算支出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601847829673869"/>
                  <c:y val="-0.142669427097137"/>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151625"/>
                      <c:h val="0.16591086786552"/>
                    </c:manualLayout>
                  </c15:layout>
                </c:ext>
              </c:extLst>
            </c:dLbl>
            <c:dLbl>
              <c:idx val="1"/>
              <c:layout>
                <c:manualLayout>
                  <c:x val="-0.120208870127343"/>
                  <c:y val="0"/>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301"/>
                      <c:h val="0.065989053948397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330337.8</c:v>
                </c:pt>
                <c:pt idx="1">
                  <c:v>5347.66</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6622</Words>
  <Characters>7304</Characters>
  <Lines>246</Lines>
  <Paragraphs>69</Paragraphs>
  <TotalTime>25</TotalTime>
  <ScaleCrop>false</ScaleCrop>
  <LinksUpToDate>false</LinksUpToDate>
  <CharactersWithSpaces>7436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吴皆明</cp:lastModifiedBy>
  <cp:lastPrinted>2023-01-16T08:04:00Z</cp:lastPrinted>
  <dcterms:modified xsi:type="dcterms:W3CDTF">2025-02-14T03:54:30Z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A4AC0E15F11643E7A49036AE4B75E2C3</vt:lpwstr>
  </property>
</Properties>
</file>