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11" w:rsidRDefault="00225B11" w:rsidP="00225B11">
      <w:pPr>
        <w:spacing w:line="460" w:lineRule="exact"/>
        <w:jc w:val="left"/>
        <w:rPr>
          <w:rFonts w:ascii="仿宋_GB2312" w:eastAsia="仿宋_GB2312" w:hint="eastAsia"/>
          <w:sz w:val="32"/>
          <w:szCs w:val="32"/>
        </w:rPr>
      </w:pPr>
      <w:r>
        <w:rPr>
          <w:rFonts w:ascii="黑体" w:eastAsia="黑体" w:hAnsi="黑体" w:cs="仿宋_GB2312" w:hint="eastAsia"/>
          <w:kern w:val="0"/>
          <w:sz w:val="32"/>
          <w:szCs w:val="32"/>
          <w:lang w:val="zh-CN" w:bidi="zh-CN"/>
        </w:rPr>
        <w:t>附件</w:t>
      </w:r>
      <w:r>
        <w:rPr>
          <w:rFonts w:ascii="黑体" w:eastAsia="黑体" w:hAnsi="黑体" w:cs="仿宋_GB2312" w:hint="eastAsia"/>
          <w:kern w:val="0"/>
          <w:sz w:val="32"/>
          <w:szCs w:val="32"/>
          <w:lang w:bidi="zh-CN"/>
        </w:rPr>
        <w:t>1</w:t>
      </w:r>
    </w:p>
    <w:p w:rsidR="00225B11" w:rsidRDefault="00225B11" w:rsidP="00225B11">
      <w:pPr>
        <w:spacing w:line="460" w:lineRule="exact"/>
        <w:ind w:firstLineChars="200" w:firstLine="619"/>
        <w:jc w:val="center"/>
        <w:rPr>
          <w:rFonts w:ascii="仿宋_GB2312" w:eastAsia="仿宋_GB2312" w:hint="eastAsia"/>
          <w:b/>
          <w:bCs/>
          <w:sz w:val="32"/>
          <w:szCs w:val="32"/>
        </w:rPr>
      </w:pPr>
    </w:p>
    <w:p w:rsidR="00225B11" w:rsidRPr="005F0819" w:rsidRDefault="00225B11" w:rsidP="00225B11">
      <w:pPr>
        <w:spacing w:line="460" w:lineRule="exact"/>
        <w:jc w:val="center"/>
        <w:rPr>
          <w:rFonts w:ascii="方正小标宋_GBK" w:eastAsia="方正小标宋_GBK" w:hAnsi="方正小标宋_GBK" w:cs="方正小标宋_GBK" w:hint="eastAsia"/>
          <w:sz w:val="40"/>
          <w:szCs w:val="40"/>
        </w:rPr>
      </w:pPr>
      <w:r w:rsidRPr="005F0819">
        <w:rPr>
          <w:rFonts w:ascii="方正小标宋_GBK" w:eastAsia="方正小标宋_GBK" w:hAnsi="方正小标宋_GBK" w:cs="方正小标宋_GBK" w:hint="eastAsia"/>
          <w:sz w:val="40"/>
          <w:szCs w:val="40"/>
        </w:rPr>
        <w:t>内蒙古自治区2024年住院医师规范化培训结业实践能力考试基地安排表</w:t>
      </w:r>
    </w:p>
    <w:p w:rsidR="00225B11" w:rsidRDefault="00225B11" w:rsidP="00225B11">
      <w:pPr>
        <w:spacing w:line="380" w:lineRule="exact"/>
        <w:jc w:val="center"/>
        <w:rPr>
          <w:rFonts w:hint="eastAsia"/>
          <w:sz w:val="18"/>
          <w:szCs w:val="1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1310"/>
        <w:gridCol w:w="848"/>
        <w:gridCol w:w="1351"/>
        <w:gridCol w:w="875"/>
        <w:gridCol w:w="1357"/>
        <w:gridCol w:w="742"/>
        <w:gridCol w:w="1303"/>
        <w:gridCol w:w="716"/>
        <w:gridCol w:w="913"/>
      </w:tblGrid>
      <w:tr w:rsidR="00225B11" w:rsidRPr="005F0819" w:rsidTr="005F0819">
        <w:trPr>
          <w:trHeight w:val="473"/>
        </w:trPr>
        <w:tc>
          <w:tcPr>
            <w:tcW w:w="1329" w:type="pct"/>
            <w:vMerge w:val="restar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考试基地/考试时间</w:t>
            </w:r>
          </w:p>
        </w:tc>
        <w:tc>
          <w:tcPr>
            <w:tcW w:w="840"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5月25日</w:t>
            </w:r>
          </w:p>
        </w:tc>
        <w:tc>
          <w:tcPr>
            <w:tcW w:w="867"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5月26日</w:t>
            </w:r>
          </w:p>
        </w:tc>
        <w:tc>
          <w:tcPr>
            <w:tcW w:w="818"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5月27日</w:t>
            </w:r>
          </w:p>
        </w:tc>
        <w:tc>
          <w:tcPr>
            <w:tcW w:w="787"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5月28日</w:t>
            </w:r>
          </w:p>
        </w:tc>
        <w:tc>
          <w:tcPr>
            <w:tcW w:w="356" w:type="pct"/>
            <w:vMerge w:val="restart"/>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合计</w:t>
            </w:r>
          </w:p>
        </w:tc>
      </w:tr>
      <w:tr w:rsidR="00225B11" w:rsidRPr="005F0819" w:rsidTr="005F0819">
        <w:trPr>
          <w:trHeight w:val="473"/>
        </w:trPr>
        <w:tc>
          <w:tcPr>
            <w:tcW w:w="1329" w:type="pct"/>
            <w:vMerge/>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rPr>
            </w:pP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专业</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人数</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专业</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人数</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专业</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人数</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专业</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rPr>
            </w:pPr>
            <w:r w:rsidRPr="005F0819">
              <w:rPr>
                <w:rFonts w:ascii="黑体" w:eastAsia="黑体" w:hAnsi="黑体" w:cs="黑体" w:hint="eastAsia"/>
                <w:kern w:val="0"/>
              </w:rPr>
              <w:t>人数</w:t>
            </w:r>
          </w:p>
        </w:tc>
        <w:tc>
          <w:tcPr>
            <w:tcW w:w="356" w:type="pct"/>
            <w:vMerge/>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rPr>
            </w:pPr>
          </w:p>
        </w:tc>
      </w:tr>
      <w:tr w:rsidR="00225B11" w:rsidRPr="005F0819" w:rsidTr="005F0819">
        <w:trPr>
          <w:trHeight w:val="323"/>
        </w:trPr>
        <w:tc>
          <w:tcPr>
            <w:tcW w:w="1329" w:type="pct"/>
            <w:vMerge w:val="restart"/>
            <w:tcBorders>
              <w:tl2br w:val="nil"/>
              <w:tr2bl w:val="nil"/>
            </w:tcBorders>
            <w:noWrap/>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内蒙古自治区人民医院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外科</w:t>
            </w:r>
          </w:p>
        </w:tc>
        <w:tc>
          <w:tcPr>
            <w:tcW w:w="329"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妇产科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52</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麻醉科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46</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骨科</w:t>
            </w:r>
          </w:p>
        </w:tc>
        <w:tc>
          <w:tcPr>
            <w:tcW w:w="27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356" w:type="pct"/>
            <w:vMerge w:val="restar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289</w:t>
            </w:r>
          </w:p>
        </w:tc>
      </w:tr>
      <w:tr w:rsidR="00225B11" w:rsidRPr="005F0819" w:rsidTr="005F0819">
        <w:trPr>
          <w:trHeight w:val="323"/>
        </w:trPr>
        <w:tc>
          <w:tcPr>
            <w:tcW w:w="1329" w:type="pct"/>
            <w:vMerge/>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检验医学科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19</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眼科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24</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皮肤科</w:t>
            </w:r>
          </w:p>
        </w:tc>
        <w:tc>
          <w:tcPr>
            <w:tcW w:w="28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21</w:t>
            </w:r>
          </w:p>
        </w:tc>
        <w:tc>
          <w:tcPr>
            <w:tcW w:w="50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临床病理科</w:t>
            </w:r>
          </w:p>
        </w:tc>
        <w:tc>
          <w:tcPr>
            <w:tcW w:w="27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15</w:t>
            </w:r>
          </w:p>
        </w:tc>
        <w:tc>
          <w:tcPr>
            <w:tcW w:w="356"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r>
      <w:tr w:rsidR="00225B11" w:rsidRPr="005F0819" w:rsidTr="005F0819">
        <w:trPr>
          <w:trHeight w:val="323"/>
        </w:trPr>
        <w:tc>
          <w:tcPr>
            <w:tcW w:w="1329" w:type="pct"/>
            <w:vMerge w:val="restar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内蒙古医科大学附属医院</w:t>
            </w:r>
          </w:p>
        </w:tc>
        <w:tc>
          <w:tcPr>
            <w:tcW w:w="510"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外科</w:t>
            </w:r>
          </w:p>
        </w:tc>
        <w:tc>
          <w:tcPr>
            <w:tcW w:w="329" w:type="pct"/>
            <w:vMerge w:val="restar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儿科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40</w:t>
            </w:r>
          </w:p>
        </w:tc>
        <w:tc>
          <w:tcPr>
            <w:tcW w:w="529"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超声医学科</w:t>
            </w:r>
          </w:p>
        </w:tc>
        <w:tc>
          <w:tcPr>
            <w:tcW w:w="288"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39</w:t>
            </w:r>
          </w:p>
        </w:tc>
        <w:tc>
          <w:tcPr>
            <w:tcW w:w="508"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骨科</w:t>
            </w:r>
          </w:p>
        </w:tc>
        <w:tc>
          <w:tcPr>
            <w:tcW w:w="278" w:type="pct"/>
            <w:vMerge w:val="restar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356" w:type="pct"/>
            <w:vMerge w:val="restar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292</w:t>
            </w:r>
          </w:p>
        </w:tc>
      </w:tr>
      <w:tr w:rsidR="00225B11" w:rsidRPr="005F0819" w:rsidTr="005F0819">
        <w:trPr>
          <w:trHeight w:val="323"/>
        </w:trPr>
        <w:tc>
          <w:tcPr>
            <w:tcW w:w="1329" w:type="pct"/>
            <w:vMerge/>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p>
        </w:tc>
        <w:tc>
          <w:tcPr>
            <w:tcW w:w="510" w:type="pct"/>
            <w:vMerge/>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p>
        </w:tc>
        <w:tc>
          <w:tcPr>
            <w:tcW w:w="329"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核医学科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7</w:t>
            </w:r>
          </w:p>
        </w:tc>
        <w:tc>
          <w:tcPr>
            <w:tcW w:w="529" w:type="pct"/>
            <w:vMerge/>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p>
        </w:tc>
        <w:tc>
          <w:tcPr>
            <w:tcW w:w="288" w:type="pct"/>
            <w:vMerge/>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p>
        </w:tc>
        <w:tc>
          <w:tcPr>
            <w:tcW w:w="508" w:type="pct"/>
            <w:vMerge/>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p>
        </w:tc>
        <w:tc>
          <w:tcPr>
            <w:tcW w:w="278"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356" w:type="pct"/>
            <w:vMerge/>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lang w:bidi="ar"/>
              </w:rPr>
            </w:pPr>
          </w:p>
        </w:tc>
      </w:tr>
      <w:tr w:rsidR="00225B11" w:rsidRPr="005F0819" w:rsidTr="005F0819">
        <w:trPr>
          <w:trHeight w:val="323"/>
        </w:trPr>
        <w:tc>
          <w:tcPr>
            <w:tcW w:w="1329" w:type="pct"/>
            <w:vMerge/>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放射科</w:t>
            </w:r>
          </w:p>
        </w:tc>
        <w:tc>
          <w:tcPr>
            <w:tcW w:w="329"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41</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康复医学科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口腔全科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37</w:t>
            </w:r>
          </w:p>
        </w:tc>
        <w:tc>
          <w:tcPr>
            <w:tcW w:w="50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放射肿瘤科</w:t>
            </w:r>
          </w:p>
        </w:tc>
        <w:tc>
          <w:tcPr>
            <w:tcW w:w="27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14</w:t>
            </w:r>
          </w:p>
        </w:tc>
        <w:tc>
          <w:tcPr>
            <w:tcW w:w="356"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r>
      <w:tr w:rsidR="00225B11" w:rsidRPr="005F0819" w:rsidTr="005F0819">
        <w:trPr>
          <w:trHeight w:val="392"/>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内蒙古包钢医院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外科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急诊科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23</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79</w:t>
            </w:r>
          </w:p>
        </w:tc>
      </w:tr>
      <w:tr w:rsidR="00225B11" w:rsidRPr="005F0819" w:rsidTr="005F0819">
        <w:trPr>
          <w:trHeight w:val="376"/>
        </w:trPr>
        <w:tc>
          <w:tcPr>
            <w:tcW w:w="1329" w:type="pct"/>
            <w:vMerge w:val="restar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包头医学院第一附属医院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外科</w:t>
            </w:r>
          </w:p>
        </w:tc>
        <w:tc>
          <w:tcPr>
            <w:tcW w:w="329"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56</w:t>
            </w:r>
          </w:p>
        </w:tc>
        <w:tc>
          <w:tcPr>
            <w:tcW w:w="526"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重症医学科</w:t>
            </w:r>
          </w:p>
        </w:tc>
        <w:tc>
          <w:tcPr>
            <w:tcW w:w="340"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23</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超声医学科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40</w:t>
            </w:r>
          </w:p>
        </w:tc>
        <w:tc>
          <w:tcPr>
            <w:tcW w:w="508" w:type="pct"/>
            <w:vMerge w:val="restar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vMerge w:val="restar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vMerge w:val="restar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169</w:t>
            </w:r>
          </w:p>
        </w:tc>
      </w:tr>
      <w:tr w:rsidR="00225B11" w:rsidRPr="005F0819" w:rsidTr="005F0819">
        <w:trPr>
          <w:trHeight w:val="407"/>
        </w:trPr>
        <w:tc>
          <w:tcPr>
            <w:tcW w:w="1329" w:type="pct"/>
            <w:vMerge/>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耳鼻咽喉科</w:t>
            </w:r>
          </w:p>
        </w:tc>
        <w:tc>
          <w:tcPr>
            <w:tcW w:w="329"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12</w:t>
            </w:r>
          </w:p>
        </w:tc>
        <w:tc>
          <w:tcPr>
            <w:tcW w:w="526"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340"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529"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口腔全科</w:t>
            </w:r>
          </w:p>
        </w:tc>
        <w:tc>
          <w:tcPr>
            <w:tcW w:w="288" w:type="pct"/>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38</w:t>
            </w:r>
          </w:p>
        </w:tc>
        <w:tc>
          <w:tcPr>
            <w:tcW w:w="508"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278"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c>
          <w:tcPr>
            <w:tcW w:w="356" w:type="pct"/>
            <w:vMerge/>
            <w:tcBorders>
              <w:tl2br w:val="nil"/>
              <w:tr2bl w:val="nil"/>
            </w:tcBorders>
            <w:vAlign w:val="center"/>
          </w:tcPr>
          <w:p w:rsidR="00225B11" w:rsidRPr="005F0819" w:rsidRDefault="00225B11" w:rsidP="005F0819">
            <w:pPr>
              <w:widowControl/>
              <w:spacing w:line="0" w:lineRule="atLeast"/>
              <w:jc w:val="center"/>
              <w:rPr>
                <w:rFonts w:ascii="宋体" w:hAnsi="宋体" w:cs="宋体" w:hint="eastAsia"/>
                <w:kern w:val="0"/>
              </w:rPr>
            </w:pPr>
          </w:p>
        </w:tc>
      </w:tr>
      <w:tr w:rsidR="00225B11" w:rsidRPr="005F0819" w:rsidTr="005F0819">
        <w:trPr>
          <w:trHeight w:val="376"/>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赤峰市医院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神经内科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67</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妇产科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53</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麻醉科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46</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166</w:t>
            </w:r>
          </w:p>
        </w:tc>
      </w:tr>
      <w:tr w:rsidR="00225B11" w:rsidRPr="005F0819" w:rsidTr="005F0819">
        <w:trPr>
          <w:trHeight w:val="408"/>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赤峰学院附属医院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放射科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40</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儿科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41</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81</w:t>
            </w:r>
          </w:p>
        </w:tc>
      </w:tr>
      <w:tr w:rsidR="00225B11" w:rsidRPr="005F0819" w:rsidTr="005F0819">
        <w:trPr>
          <w:trHeight w:val="392"/>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巴彦淖尔市医院</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全科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39</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全科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40</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全科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40</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119</w:t>
            </w:r>
          </w:p>
        </w:tc>
      </w:tr>
      <w:tr w:rsidR="00225B11" w:rsidRPr="005F0819" w:rsidTr="005F0819">
        <w:trPr>
          <w:trHeight w:val="400"/>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内蒙古自治区精神卫生中心</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精神科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28</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28</w:t>
            </w:r>
          </w:p>
        </w:tc>
      </w:tr>
      <w:tr w:rsidR="00225B11" w:rsidRPr="005F0819" w:rsidTr="005F0819">
        <w:trPr>
          <w:trHeight w:val="635"/>
        </w:trPr>
        <w:tc>
          <w:tcPr>
            <w:tcW w:w="1329" w:type="pct"/>
            <w:tcBorders>
              <w:tl2br w:val="nil"/>
              <w:tr2bl w:val="nil"/>
            </w:tcBorders>
            <w:vAlign w:val="center"/>
          </w:tcPr>
          <w:p w:rsidR="00225B11" w:rsidRPr="005F0819" w:rsidRDefault="00225B11" w:rsidP="005F0819">
            <w:pPr>
              <w:widowControl/>
              <w:spacing w:line="0" w:lineRule="atLeast"/>
              <w:jc w:val="left"/>
              <w:rPr>
                <w:rFonts w:ascii="宋体" w:hAnsi="宋体" w:cs="宋体" w:hint="eastAsia"/>
                <w:kern w:val="0"/>
              </w:rPr>
            </w:pPr>
            <w:r w:rsidRPr="005F0819">
              <w:rPr>
                <w:rFonts w:ascii="宋体" w:hAnsi="宋体" w:cs="宋体" w:hint="eastAsia"/>
                <w:kern w:val="0"/>
              </w:rPr>
              <w:t>自治区卫生健康医学教育考试中心</w:t>
            </w:r>
          </w:p>
        </w:tc>
        <w:tc>
          <w:tcPr>
            <w:tcW w:w="51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内科</w:t>
            </w:r>
          </w:p>
        </w:tc>
        <w:tc>
          <w:tcPr>
            <w:tcW w:w="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120</w:t>
            </w:r>
          </w:p>
        </w:tc>
        <w:tc>
          <w:tcPr>
            <w:tcW w:w="52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内科</w:t>
            </w:r>
          </w:p>
        </w:tc>
        <w:tc>
          <w:tcPr>
            <w:tcW w:w="340"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130</w:t>
            </w:r>
          </w:p>
        </w:tc>
        <w:tc>
          <w:tcPr>
            <w:tcW w:w="5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内科</w:t>
            </w:r>
          </w:p>
        </w:tc>
        <w:tc>
          <w:tcPr>
            <w:tcW w:w="28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138</w:t>
            </w:r>
          </w:p>
        </w:tc>
        <w:tc>
          <w:tcPr>
            <w:tcW w:w="50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278"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w:t>
            </w:r>
          </w:p>
        </w:tc>
        <w:tc>
          <w:tcPr>
            <w:tcW w:w="356" w:type="pct"/>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lang w:bidi="ar"/>
              </w:rPr>
            </w:pPr>
            <w:r w:rsidRPr="005F0819">
              <w:rPr>
                <w:rFonts w:ascii="宋体" w:hAnsi="宋体" w:cs="宋体" w:hint="eastAsia"/>
                <w:kern w:val="0"/>
                <w:lang w:bidi="ar"/>
              </w:rPr>
              <w:t>388</w:t>
            </w:r>
          </w:p>
        </w:tc>
      </w:tr>
      <w:tr w:rsidR="00225B11" w:rsidRPr="005F0819" w:rsidTr="005F0819">
        <w:trPr>
          <w:trHeight w:val="497"/>
        </w:trPr>
        <w:tc>
          <w:tcPr>
            <w:tcW w:w="1329"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合计</w:t>
            </w:r>
          </w:p>
        </w:tc>
        <w:tc>
          <w:tcPr>
            <w:tcW w:w="840" w:type="pct"/>
            <w:gridSpan w:val="2"/>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590</w:t>
            </w:r>
          </w:p>
        </w:tc>
        <w:tc>
          <w:tcPr>
            <w:tcW w:w="867" w:type="pct"/>
            <w:gridSpan w:val="2"/>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435</w:t>
            </w:r>
          </w:p>
        </w:tc>
        <w:tc>
          <w:tcPr>
            <w:tcW w:w="818" w:type="pct"/>
            <w:gridSpan w:val="2"/>
            <w:tcBorders>
              <w:tl2br w:val="nil"/>
              <w:tr2bl w:val="nil"/>
            </w:tcBorders>
            <w:noWrap/>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445</w:t>
            </w:r>
          </w:p>
        </w:tc>
        <w:tc>
          <w:tcPr>
            <w:tcW w:w="787" w:type="pct"/>
            <w:gridSpan w:val="2"/>
            <w:tcBorders>
              <w:tl2br w:val="nil"/>
              <w:tr2bl w:val="nil"/>
            </w:tcBorders>
            <w:vAlign w:val="center"/>
          </w:tcPr>
          <w:p w:rsidR="00225B11" w:rsidRPr="005F0819" w:rsidRDefault="00225B11" w:rsidP="005F0819">
            <w:pPr>
              <w:widowControl/>
              <w:spacing w:line="0" w:lineRule="atLeast"/>
              <w:jc w:val="center"/>
              <w:textAlignment w:val="center"/>
              <w:rPr>
                <w:rFonts w:ascii="宋体" w:hAnsi="宋体" w:cs="宋体" w:hint="eastAsia"/>
                <w:kern w:val="0"/>
              </w:rPr>
            </w:pPr>
            <w:r w:rsidRPr="005F0819">
              <w:rPr>
                <w:rFonts w:ascii="宋体" w:hAnsi="宋体" w:cs="宋体" w:hint="eastAsia"/>
                <w:kern w:val="0"/>
              </w:rPr>
              <w:t>141</w:t>
            </w:r>
          </w:p>
        </w:tc>
        <w:tc>
          <w:tcPr>
            <w:tcW w:w="356" w:type="pct"/>
            <w:tcBorders>
              <w:tl2br w:val="nil"/>
              <w:tr2bl w:val="nil"/>
            </w:tcBorders>
            <w:noWrap/>
            <w:vAlign w:val="center"/>
          </w:tcPr>
          <w:p w:rsidR="00225B11" w:rsidRPr="005F0819" w:rsidRDefault="00225B11" w:rsidP="005F0819">
            <w:pPr>
              <w:widowControl/>
              <w:spacing w:line="0" w:lineRule="atLeast"/>
              <w:jc w:val="center"/>
              <w:rPr>
                <w:rFonts w:ascii="宋体" w:hAnsi="宋体" w:cs="宋体" w:hint="eastAsia"/>
                <w:kern w:val="0"/>
              </w:rPr>
            </w:pPr>
            <w:r w:rsidRPr="005F0819">
              <w:rPr>
                <w:rFonts w:ascii="宋体" w:hAnsi="宋体" w:cs="宋体" w:hint="eastAsia"/>
                <w:kern w:val="0"/>
              </w:rPr>
              <w:t>1611</w:t>
            </w:r>
          </w:p>
        </w:tc>
      </w:tr>
    </w:tbl>
    <w:p w:rsidR="00225B11" w:rsidRDefault="00225B11" w:rsidP="00225B11">
      <w:pPr>
        <w:tabs>
          <w:tab w:val="left" w:pos="10083"/>
        </w:tabs>
        <w:spacing w:line="520" w:lineRule="exact"/>
        <w:rPr>
          <w:rFonts w:ascii="仿宋_GB2312" w:eastAsia="仿宋_GB2312" w:hint="eastAsia"/>
          <w:sz w:val="32"/>
          <w:szCs w:val="32"/>
        </w:rPr>
      </w:pPr>
    </w:p>
    <w:p w:rsidR="00225B11" w:rsidRPr="005F0819" w:rsidRDefault="00225B11" w:rsidP="00225B11">
      <w:pPr>
        <w:spacing w:line="460" w:lineRule="exact"/>
        <w:jc w:val="center"/>
        <w:rPr>
          <w:rFonts w:ascii="方正小标宋_GBK" w:eastAsia="方正小标宋_GBK" w:hAnsi="方正小标宋_GBK" w:cs="方正小标宋_GBK" w:hint="eastAsia"/>
          <w:sz w:val="40"/>
          <w:szCs w:val="40"/>
        </w:rPr>
      </w:pPr>
      <w:r w:rsidRPr="005F0819">
        <w:rPr>
          <w:rFonts w:ascii="方正小标宋_GBK" w:eastAsia="方正小标宋_GBK" w:hAnsi="方正小标宋_GBK" w:cs="方正小标宋_GBK" w:hint="eastAsia"/>
          <w:sz w:val="40"/>
          <w:szCs w:val="40"/>
        </w:rPr>
        <w:t>内蒙古自治区2024年住院医师规范化培训结业实践能力考试基地安排表</w:t>
      </w:r>
    </w:p>
    <w:p w:rsidR="00225B11" w:rsidRDefault="00225B11" w:rsidP="00225B11">
      <w:pPr>
        <w:tabs>
          <w:tab w:val="left" w:pos="10083"/>
        </w:tabs>
        <w:spacing w:line="520" w:lineRule="exact"/>
        <w:jc w:val="center"/>
        <w:rPr>
          <w:rFonts w:ascii="仿宋_GB2312" w:eastAsia="仿宋_GB2312" w:hint="eastAsia"/>
          <w:b/>
          <w:bCs/>
          <w:sz w:val="32"/>
          <w:szCs w:val="32"/>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1721"/>
        <w:gridCol w:w="1331"/>
        <w:gridCol w:w="1369"/>
        <w:gridCol w:w="1316"/>
        <w:gridCol w:w="1394"/>
        <w:gridCol w:w="1289"/>
        <w:gridCol w:w="1356"/>
      </w:tblGrid>
      <w:tr w:rsidR="00225B11" w:rsidRPr="005F0819" w:rsidTr="005F0819">
        <w:trPr>
          <w:trHeight w:val="389"/>
          <w:jc w:val="center"/>
        </w:trPr>
        <w:tc>
          <w:tcPr>
            <w:tcW w:w="1162" w:type="pct"/>
            <w:vMerge w:val="restar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考试基地/时间</w:t>
            </w:r>
          </w:p>
        </w:tc>
        <w:tc>
          <w:tcPr>
            <w:tcW w:w="1197"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5月26日</w:t>
            </w:r>
          </w:p>
        </w:tc>
        <w:tc>
          <w:tcPr>
            <w:tcW w:w="1053"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5月27日</w:t>
            </w:r>
          </w:p>
        </w:tc>
        <w:tc>
          <w:tcPr>
            <w:tcW w:w="1053" w:type="pct"/>
            <w:gridSpan w:val="2"/>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5月28日</w:t>
            </w:r>
          </w:p>
        </w:tc>
        <w:tc>
          <w:tcPr>
            <w:tcW w:w="532" w:type="pct"/>
            <w:vMerge w:val="restart"/>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合计</w:t>
            </w:r>
          </w:p>
        </w:tc>
      </w:tr>
      <w:tr w:rsidR="00225B11" w:rsidRPr="005F0819" w:rsidTr="005F0819">
        <w:trPr>
          <w:trHeight w:val="500"/>
          <w:jc w:val="center"/>
        </w:trPr>
        <w:tc>
          <w:tcPr>
            <w:tcW w:w="1162" w:type="pct"/>
            <w:vMerge/>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p>
        </w:tc>
        <w:tc>
          <w:tcPr>
            <w:tcW w:w="675"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专业</w:t>
            </w:r>
          </w:p>
        </w:tc>
        <w:tc>
          <w:tcPr>
            <w:tcW w:w="521"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人数</w:t>
            </w:r>
          </w:p>
        </w:tc>
        <w:tc>
          <w:tcPr>
            <w:tcW w:w="537"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专业</w:t>
            </w:r>
          </w:p>
        </w:tc>
        <w:tc>
          <w:tcPr>
            <w:tcW w:w="516"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人数</w:t>
            </w:r>
          </w:p>
        </w:tc>
        <w:tc>
          <w:tcPr>
            <w:tcW w:w="547"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专业</w:t>
            </w:r>
          </w:p>
        </w:tc>
        <w:tc>
          <w:tcPr>
            <w:tcW w:w="506" w:type="pct"/>
            <w:tcBorders>
              <w:tl2br w:val="nil"/>
              <w:tr2bl w:val="nil"/>
            </w:tcBorders>
            <w:noWrap/>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r w:rsidRPr="005F0819">
              <w:rPr>
                <w:rFonts w:ascii="黑体" w:eastAsia="黑体" w:hAnsi="黑体" w:cs="黑体" w:hint="eastAsia"/>
                <w:kern w:val="0"/>
                <w:sz w:val="24"/>
                <w:szCs w:val="24"/>
              </w:rPr>
              <w:t>人数</w:t>
            </w:r>
          </w:p>
        </w:tc>
        <w:tc>
          <w:tcPr>
            <w:tcW w:w="532" w:type="pct"/>
            <w:vMerge/>
            <w:tcBorders>
              <w:tl2br w:val="nil"/>
              <w:tr2bl w:val="nil"/>
            </w:tcBorders>
            <w:vAlign w:val="center"/>
          </w:tcPr>
          <w:p w:rsidR="00225B11" w:rsidRPr="005F0819" w:rsidRDefault="00225B11" w:rsidP="005F0819">
            <w:pPr>
              <w:widowControl/>
              <w:spacing w:line="0" w:lineRule="atLeast"/>
              <w:jc w:val="center"/>
              <w:rPr>
                <w:rFonts w:ascii="黑体" w:eastAsia="黑体" w:hAnsi="黑体" w:cs="黑体" w:hint="eastAsia"/>
                <w:kern w:val="0"/>
                <w:sz w:val="24"/>
                <w:szCs w:val="24"/>
              </w:rPr>
            </w:pPr>
          </w:p>
        </w:tc>
      </w:tr>
      <w:tr w:rsidR="00225B11" w:rsidRPr="005F0819" w:rsidTr="005F0819">
        <w:trPr>
          <w:trHeight w:val="1020"/>
          <w:jc w:val="center"/>
        </w:trPr>
        <w:tc>
          <w:tcPr>
            <w:tcW w:w="1162"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呼和浩特市蒙医中医医院</w:t>
            </w:r>
          </w:p>
        </w:tc>
        <w:tc>
          <w:tcPr>
            <w:tcW w:w="675"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中医</w:t>
            </w:r>
          </w:p>
        </w:tc>
        <w:tc>
          <w:tcPr>
            <w:tcW w:w="521"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85</w:t>
            </w:r>
          </w:p>
        </w:tc>
        <w:tc>
          <w:tcPr>
            <w:tcW w:w="53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中医</w:t>
            </w:r>
          </w:p>
        </w:tc>
        <w:tc>
          <w:tcPr>
            <w:tcW w:w="516" w:type="pct"/>
            <w:tcBorders>
              <w:tl2br w:val="nil"/>
              <w:tr2bl w:val="nil"/>
            </w:tcBorders>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85</w:t>
            </w:r>
          </w:p>
        </w:tc>
        <w:tc>
          <w:tcPr>
            <w:tcW w:w="54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中医全科</w:t>
            </w:r>
          </w:p>
        </w:tc>
        <w:tc>
          <w:tcPr>
            <w:tcW w:w="506"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33</w:t>
            </w:r>
          </w:p>
        </w:tc>
        <w:tc>
          <w:tcPr>
            <w:tcW w:w="532" w:type="pct"/>
            <w:tcBorders>
              <w:tl2br w:val="nil"/>
              <w:tr2bl w:val="nil"/>
            </w:tcBorders>
            <w:noWrap/>
            <w:vAlign w:val="center"/>
          </w:tcPr>
          <w:p w:rsidR="00225B11" w:rsidRPr="005F0819" w:rsidRDefault="00225B11" w:rsidP="005F0819">
            <w:pPr>
              <w:widowControl/>
              <w:spacing w:line="520" w:lineRule="exact"/>
              <w:jc w:val="center"/>
              <w:textAlignment w:val="center"/>
              <w:rPr>
                <w:rFonts w:ascii="宋体" w:hAnsi="宋体" w:cs="宋体" w:hint="eastAsia"/>
                <w:kern w:val="0"/>
                <w:sz w:val="24"/>
                <w:szCs w:val="24"/>
              </w:rPr>
            </w:pPr>
            <w:r w:rsidRPr="005F0819">
              <w:rPr>
                <w:rFonts w:ascii="宋体" w:hAnsi="宋体" w:cs="宋体" w:hint="eastAsia"/>
                <w:kern w:val="0"/>
                <w:sz w:val="24"/>
                <w:szCs w:val="24"/>
              </w:rPr>
              <w:t>202</w:t>
            </w:r>
          </w:p>
        </w:tc>
      </w:tr>
      <w:tr w:rsidR="00225B11" w:rsidRPr="005F0819" w:rsidTr="005F0819">
        <w:trPr>
          <w:trHeight w:val="1041"/>
          <w:jc w:val="center"/>
        </w:trPr>
        <w:tc>
          <w:tcPr>
            <w:tcW w:w="1162" w:type="pct"/>
            <w:tcBorders>
              <w:tl2br w:val="nil"/>
              <w:tr2bl w:val="nil"/>
            </w:tcBorders>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内蒙古自治区国际蒙医医院</w:t>
            </w:r>
          </w:p>
        </w:tc>
        <w:tc>
          <w:tcPr>
            <w:tcW w:w="675"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w:t>
            </w:r>
          </w:p>
        </w:tc>
        <w:tc>
          <w:tcPr>
            <w:tcW w:w="521"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75</w:t>
            </w:r>
          </w:p>
        </w:tc>
        <w:tc>
          <w:tcPr>
            <w:tcW w:w="53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w:t>
            </w:r>
          </w:p>
        </w:tc>
        <w:tc>
          <w:tcPr>
            <w:tcW w:w="516" w:type="pct"/>
            <w:tcBorders>
              <w:tl2br w:val="nil"/>
              <w:tr2bl w:val="nil"/>
            </w:tcBorders>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75</w:t>
            </w:r>
          </w:p>
        </w:tc>
        <w:tc>
          <w:tcPr>
            <w:tcW w:w="54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蒙医全科</w:t>
            </w:r>
          </w:p>
        </w:tc>
        <w:tc>
          <w:tcPr>
            <w:tcW w:w="506"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35</w:t>
            </w:r>
          </w:p>
        </w:tc>
        <w:tc>
          <w:tcPr>
            <w:tcW w:w="532" w:type="pct"/>
            <w:tcBorders>
              <w:tl2br w:val="nil"/>
              <w:tr2bl w:val="nil"/>
            </w:tcBorders>
            <w:noWrap/>
            <w:vAlign w:val="center"/>
          </w:tcPr>
          <w:p w:rsidR="00225B11" w:rsidRPr="005F0819" w:rsidRDefault="00225B11" w:rsidP="005F0819">
            <w:pPr>
              <w:widowControl/>
              <w:spacing w:line="520" w:lineRule="exact"/>
              <w:jc w:val="center"/>
              <w:textAlignment w:val="center"/>
              <w:rPr>
                <w:rFonts w:ascii="宋体" w:hAnsi="宋体" w:cs="宋体" w:hint="eastAsia"/>
                <w:kern w:val="0"/>
                <w:sz w:val="24"/>
                <w:szCs w:val="24"/>
              </w:rPr>
            </w:pPr>
            <w:r w:rsidRPr="005F0819">
              <w:rPr>
                <w:rFonts w:ascii="宋体" w:hAnsi="宋体" w:cs="宋体" w:hint="eastAsia"/>
                <w:kern w:val="0"/>
                <w:sz w:val="24"/>
                <w:szCs w:val="24"/>
              </w:rPr>
              <w:t>185</w:t>
            </w:r>
          </w:p>
        </w:tc>
      </w:tr>
      <w:tr w:rsidR="00225B11" w:rsidRPr="005F0819" w:rsidTr="005F0819">
        <w:trPr>
          <w:trHeight w:val="1033"/>
          <w:jc w:val="center"/>
        </w:trPr>
        <w:tc>
          <w:tcPr>
            <w:tcW w:w="1162" w:type="pct"/>
            <w:tcBorders>
              <w:tl2br w:val="nil"/>
              <w:tr2bl w:val="nil"/>
            </w:tcBorders>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内蒙古民族大学附属医院</w:t>
            </w:r>
          </w:p>
        </w:tc>
        <w:tc>
          <w:tcPr>
            <w:tcW w:w="675"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w:t>
            </w:r>
          </w:p>
        </w:tc>
        <w:tc>
          <w:tcPr>
            <w:tcW w:w="521"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76</w:t>
            </w:r>
          </w:p>
        </w:tc>
        <w:tc>
          <w:tcPr>
            <w:tcW w:w="53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w:t>
            </w:r>
          </w:p>
        </w:tc>
        <w:tc>
          <w:tcPr>
            <w:tcW w:w="516"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77</w:t>
            </w:r>
          </w:p>
        </w:tc>
        <w:tc>
          <w:tcPr>
            <w:tcW w:w="547"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蒙医全科</w:t>
            </w:r>
          </w:p>
        </w:tc>
        <w:tc>
          <w:tcPr>
            <w:tcW w:w="506"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kern w:val="0"/>
                <w:sz w:val="24"/>
                <w:szCs w:val="24"/>
              </w:rPr>
            </w:pPr>
            <w:r w:rsidRPr="005F0819">
              <w:rPr>
                <w:rFonts w:ascii="宋体" w:hAnsi="宋体" w:cs="宋体" w:hint="eastAsia"/>
                <w:kern w:val="0"/>
                <w:sz w:val="24"/>
                <w:szCs w:val="24"/>
              </w:rPr>
              <w:t>20</w:t>
            </w:r>
          </w:p>
        </w:tc>
        <w:tc>
          <w:tcPr>
            <w:tcW w:w="532" w:type="pct"/>
            <w:tcBorders>
              <w:tl2br w:val="nil"/>
              <w:tr2bl w:val="nil"/>
            </w:tcBorders>
            <w:noWrap/>
            <w:vAlign w:val="center"/>
          </w:tcPr>
          <w:p w:rsidR="00225B11" w:rsidRPr="005F0819" w:rsidRDefault="00225B11" w:rsidP="005F0819">
            <w:pPr>
              <w:widowControl/>
              <w:spacing w:line="520" w:lineRule="exact"/>
              <w:jc w:val="center"/>
              <w:textAlignment w:val="center"/>
              <w:rPr>
                <w:rFonts w:ascii="宋体" w:hAnsi="宋体" w:cs="宋体" w:hint="eastAsia"/>
                <w:kern w:val="0"/>
                <w:sz w:val="24"/>
                <w:szCs w:val="24"/>
              </w:rPr>
            </w:pPr>
            <w:r w:rsidRPr="005F0819">
              <w:rPr>
                <w:rFonts w:ascii="宋体" w:hAnsi="宋体" w:cs="宋体" w:hint="eastAsia"/>
                <w:kern w:val="0"/>
                <w:sz w:val="24"/>
                <w:szCs w:val="24"/>
              </w:rPr>
              <w:t>173</w:t>
            </w:r>
          </w:p>
        </w:tc>
      </w:tr>
      <w:tr w:rsidR="00225B11" w:rsidRPr="005F0819" w:rsidTr="005F0819">
        <w:trPr>
          <w:trHeight w:val="675"/>
          <w:jc w:val="center"/>
        </w:trPr>
        <w:tc>
          <w:tcPr>
            <w:tcW w:w="1162" w:type="pct"/>
            <w:tcBorders>
              <w:tl2br w:val="nil"/>
              <w:tr2bl w:val="nil"/>
            </w:tcBorders>
            <w:noWrap/>
            <w:vAlign w:val="center"/>
          </w:tcPr>
          <w:p w:rsidR="00225B11" w:rsidRPr="005F0819" w:rsidRDefault="00225B11" w:rsidP="005F0819">
            <w:pPr>
              <w:widowControl/>
              <w:spacing w:line="520" w:lineRule="exact"/>
              <w:jc w:val="center"/>
              <w:rPr>
                <w:rFonts w:ascii="宋体" w:hAnsi="宋体" w:cs="宋体" w:hint="eastAsia"/>
                <w:b/>
                <w:bCs/>
                <w:kern w:val="0"/>
                <w:sz w:val="24"/>
                <w:szCs w:val="24"/>
              </w:rPr>
            </w:pPr>
            <w:r w:rsidRPr="005F0819">
              <w:rPr>
                <w:rFonts w:ascii="宋体" w:hAnsi="宋体" w:cs="宋体" w:hint="eastAsia"/>
                <w:kern w:val="0"/>
                <w:sz w:val="24"/>
                <w:szCs w:val="24"/>
              </w:rPr>
              <w:t>合计</w:t>
            </w:r>
          </w:p>
        </w:tc>
        <w:tc>
          <w:tcPr>
            <w:tcW w:w="1197" w:type="pct"/>
            <w:gridSpan w:val="2"/>
            <w:tcBorders>
              <w:tl2br w:val="nil"/>
              <w:tr2bl w:val="nil"/>
            </w:tcBorders>
            <w:noWrap/>
            <w:vAlign w:val="center"/>
          </w:tcPr>
          <w:p w:rsidR="00225B11" w:rsidRPr="005F0819" w:rsidRDefault="00225B11" w:rsidP="005F0819">
            <w:pPr>
              <w:widowControl/>
              <w:spacing w:line="520" w:lineRule="exact"/>
              <w:jc w:val="center"/>
              <w:textAlignment w:val="center"/>
              <w:rPr>
                <w:rFonts w:ascii="仿宋" w:eastAsia="仿宋" w:hAnsi="仿宋" w:cs="宋体"/>
                <w:kern w:val="0"/>
                <w:sz w:val="24"/>
                <w:szCs w:val="24"/>
              </w:rPr>
            </w:pPr>
            <w:r w:rsidRPr="005F0819">
              <w:rPr>
                <w:rFonts w:ascii="仿宋" w:eastAsia="仿宋" w:hAnsi="仿宋" w:cs="宋体" w:hint="eastAsia"/>
                <w:kern w:val="0"/>
                <w:sz w:val="24"/>
                <w:szCs w:val="24"/>
              </w:rPr>
              <w:t>218</w:t>
            </w:r>
          </w:p>
        </w:tc>
        <w:tc>
          <w:tcPr>
            <w:tcW w:w="1053" w:type="pct"/>
            <w:gridSpan w:val="2"/>
            <w:tcBorders>
              <w:tl2br w:val="nil"/>
              <w:tr2bl w:val="nil"/>
            </w:tcBorders>
            <w:noWrap/>
            <w:vAlign w:val="center"/>
          </w:tcPr>
          <w:p w:rsidR="00225B11" w:rsidRPr="005F0819" w:rsidRDefault="00225B11" w:rsidP="005F0819">
            <w:pPr>
              <w:widowControl/>
              <w:spacing w:line="520" w:lineRule="exact"/>
              <w:jc w:val="center"/>
              <w:textAlignment w:val="center"/>
              <w:rPr>
                <w:rFonts w:ascii="仿宋" w:eastAsia="仿宋" w:hAnsi="仿宋" w:cs="宋体"/>
                <w:kern w:val="0"/>
                <w:sz w:val="24"/>
                <w:szCs w:val="24"/>
              </w:rPr>
            </w:pPr>
            <w:r w:rsidRPr="005F0819">
              <w:rPr>
                <w:rFonts w:ascii="仿宋" w:eastAsia="仿宋" w:hAnsi="仿宋" w:cs="宋体" w:hint="eastAsia"/>
                <w:kern w:val="0"/>
                <w:sz w:val="24"/>
                <w:szCs w:val="24"/>
              </w:rPr>
              <w:t>219</w:t>
            </w:r>
          </w:p>
        </w:tc>
        <w:tc>
          <w:tcPr>
            <w:tcW w:w="1053" w:type="pct"/>
            <w:gridSpan w:val="2"/>
            <w:tcBorders>
              <w:tl2br w:val="nil"/>
              <w:tr2bl w:val="nil"/>
            </w:tcBorders>
            <w:noWrap/>
            <w:vAlign w:val="center"/>
          </w:tcPr>
          <w:p w:rsidR="00225B11" w:rsidRPr="005F0819" w:rsidRDefault="00225B11" w:rsidP="005F0819">
            <w:pPr>
              <w:widowControl/>
              <w:spacing w:line="520" w:lineRule="exact"/>
              <w:jc w:val="center"/>
              <w:textAlignment w:val="center"/>
              <w:rPr>
                <w:rFonts w:ascii="仿宋" w:eastAsia="仿宋" w:hAnsi="仿宋" w:cs="宋体"/>
                <w:kern w:val="0"/>
                <w:sz w:val="24"/>
                <w:szCs w:val="24"/>
              </w:rPr>
            </w:pPr>
            <w:r w:rsidRPr="005F0819">
              <w:rPr>
                <w:rFonts w:ascii="仿宋" w:eastAsia="仿宋" w:hAnsi="仿宋" w:cs="宋体" w:hint="eastAsia"/>
                <w:kern w:val="0"/>
                <w:sz w:val="24"/>
                <w:szCs w:val="24"/>
              </w:rPr>
              <w:t>123</w:t>
            </w:r>
          </w:p>
        </w:tc>
        <w:tc>
          <w:tcPr>
            <w:tcW w:w="532" w:type="pct"/>
            <w:tcBorders>
              <w:tl2br w:val="nil"/>
              <w:tr2bl w:val="nil"/>
            </w:tcBorders>
            <w:noWrap/>
            <w:vAlign w:val="center"/>
          </w:tcPr>
          <w:p w:rsidR="00225B11" w:rsidRPr="005F0819" w:rsidRDefault="00225B11" w:rsidP="005F0819">
            <w:pPr>
              <w:widowControl/>
              <w:spacing w:line="520" w:lineRule="exact"/>
              <w:jc w:val="center"/>
              <w:rPr>
                <w:rFonts w:ascii="仿宋" w:eastAsia="仿宋" w:hAnsi="仿宋" w:cs="宋体"/>
                <w:kern w:val="0"/>
                <w:sz w:val="24"/>
                <w:szCs w:val="24"/>
              </w:rPr>
            </w:pPr>
            <w:r w:rsidRPr="005F0819">
              <w:rPr>
                <w:rFonts w:ascii="仿宋" w:eastAsia="仿宋" w:hAnsi="仿宋" w:cs="宋体" w:hint="eastAsia"/>
                <w:kern w:val="0"/>
                <w:sz w:val="24"/>
                <w:szCs w:val="24"/>
              </w:rPr>
              <w:t>560</w:t>
            </w:r>
          </w:p>
        </w:tc>
      </w:tr>
    </w:tbl>
    <w:p w:rsidR="00225B11" w:rsidRDefault="00225B11" w:rsidP="00225B11">
      <w:pPr>
        <w:tabs>
          <w:tab w:val="left" w:pos="10083"/>
        </w:tabs>
        <w:spacing w:line="520" w:lineRule="exact"/>
        <w:jc w:val="center"/>
        <w:rPr>
          <w:rFonts w:ascii="仿宋_GB2312" w:eastAsia="仿宋_GB2312" w:hint="eastAsia"/>
          <w:sz w:val="32"/>
          <w:szCs w:val="32"/>
        </w:rPr>
      </w:pPr>
    </w:p>
    <w:p w:rsidR="00225B11" w:rsidRDefault="00225B11" w:rsidP="00225B11">
      <w:pPr>
        <w:tabs>
          <w:tab w:val="left" w:pos="10083"/>
        </w:tabs>
        <w:spacing w:line="520" w:lineRule="exact"/>
        <w:jc w:val="center"/>
        <w:rPr>
          <w:rFonts w:ascii="仿宋_GB2312" w:eastAsia="仿宋_GB2312" w:hint="eastAsia"/>
          <w:sz w:val="32"/>
          <w:szCs w:val="32"/>
        </w:rPr>
      </w:pPr>
    </w:p>
    <w:p w:rsidR="00225B11" w:rsidRDefault="00225B11" w:rsidP="00225B11">
      <w:pPr>
        <w:tabs>
          <w:tab w:val="left" w:pos="10083"/>
        </w:tabs>
        <w:spacing w:line="520" w:lineRule="exact"/>
        <w:jc w:val="center"/>
        <w:rPr>
          <w:rFonts w:ascii="仿宋_GB2312" w:eastAsia="仿宋_GB2312" w:hint="eastAsia"/>
          <w:sz w:val="32"/>
          <w:szCs w:val="32"/>
        </w:rPr>
      </w:pPr>
    </w:p>
    <w:p w:rsidR="00225B11" w:rsidRDefault="00225B11" w:rsidP="00225B11">
      <w:pPr>
        <w:tabs>
          <w:tab w:val="left" w:pos="10083"/>
        </w:tabs>
        <w:spacing w:line="520" w:lineRule="exact"/>
        <w:jc w:val="center"/>
        <w:rPr>
          <w:rFonts w:ascii="仿宋_GB2312" w:eastAsia="仿宋_GB2312" w:hint="eastAsia"/>
          <w:sz w:val="32"/>
          <w:szCs w:val="32"/>
        </w:rPr>
      </w:pPr>
    </w:p>
    <w:p w:rsidR="00225B11" w:rsidRDefault="00225B11" w:rsidP="00225B11">
      <w:pPr>
        <w:spacing w:line="577" w:lineRule="exact"/>
        <w:jc w:val="left"/>
        <w:rPr>
          <w:rFonts w:ascii="黑体" w:eastAsia="黑体" w:hAnsi="黑体" w:cs="仿宋_GB2312" w:hint="eastAsia"/>
          <w:kern w:val="0"/>
          <w:sz w:val="32"/>
          <w:szCs w:val="32"/>
          <w:lang w:val="zh-CN" w:bidi="zh-CN"/>
        </w:rPr>
        <w:sectPr w:rsidR="00225B11">
          <w:pgSz w:w="16838" w:h="11906" w:orient="landscape"/>
          <w:pgMar w:top="1587" w:right="2098" w:bottom="1587" w:left="1985" w:header="851" w:footer="1587" w:gutter="0"/>
          <w:cols w:space="720"/>
          <w:titlePg/>
          <w:docGrid w:type="linesAndChars" w:linePitch="291" w:charSpace="-2374"/>
        </w:sectPr>
      </w:pPr>
    </w:p>
    <w:p w:rsidR="00225B11" w:rsidRDefault="00225B11" w:rsidP="00225B11">
      <w:pPr>
        <w:spacing w:line="570" w:lineRule="exact"/>
        <w:jc w:val="left"/>
        <w:rPr>
          <w:rFonts w:ascii="黑体" w:eastAsia="黑体" w:hAnsi="黑体" w:cs="仿宋_GB2312" w:hint="eastAsia"/>
          <w:kern w:val="0"/>
          <w:sz w:val="32"/>
          <w:szCs w:val="32"/>
          <w:lang w:val="zh-CN" w:bidi="zh-CN"/>
        </w:rPr>
      </w:pPr>
      <w:r>
        <w:rPr>
          <w:rFonts w:ascii="黑体" w:eastAsia="黑体" w:hAnsi="黑体" w:cs="仿宋_GB2312" w:hint="eastAsia"/>
          <w:kern w:val="0"/>
          <w:sz w:val="32"/>
          <w:szCs w:val="32"/>
          <w:lang w:val="zh-CN" w:bidi="zh-CN"/>
        </w:rPr>
        <w:lastRenderedPageBreak/>
        <w:t>附件</w:t>
      </w:r>
      <w:r>
        <w:rPr>
          <w:rFonts w:ascii="黑体" w:eastAsia="黑体" w:hAnsi="黑体" w:cs="仿宋_GB2312" w:hint="eastAsia"/>
          <w:kern w:val="0"/>
          <w:sz w:val="32"/>
          <w:szCs w:val="32"/>
          <w:lang w:bidi="zh-CN"/>
        </w:rPr>
        <w:t>2</w:t>
      </w:r>
    </w:p>
    <w:p w:rsidR="00225B11" w:rsidRDefault="00225B11" w:rsidP="00225B11">
      <w:pPr>
        <w:spacing w:line="570" w:lineRule="exact"/>
        <w:ind w:firstLineChars="200" w:firstLine="800"/>
        <w:jc w:val="center"/>
        <w:rPr>
          <w:rFonts w:ascii="方正小标宋_GBK" w:eastAsia="方正小标宋_GBK" w:hAnsi="宋体" w:cs="宋体" w:hint="eastAsia"/>
          <w:bCs/>
          <w:kern w:val="0"/>
          <w:sz w:val="40"/>
          <w:szCs w:val="40"/>
        </w:rPr>
      </w:pPr>
    </w:p>
    <w:p w:rsidR="00225B11" w:rsidRDefault="00225B11" w:rsidP="00225B11">
      <w:pPr>
        <w:spacing w:line="570" w:lineRule="exact"/>
        <w:jc w:val="center"/>
        <w:rPr>
          <w:rFonts w:ascii="方正小标宋_GBK" w:eastAsia="方正小标宋_GBK" w:hAnsi="宋体" w:cs="宋体" w:hint="eastAsia"/>
          <w:bCs/>
          <w:kern w:val="0"/>
          <w:sz w:val="40"/>
          <w:szCs w:val="40"/>
        </w:rPr>
      </w:pPr>
      <w:r>
        <w:rPr>
          <w:rFonts w:ascii="方正小标宋_GBK" w:eastAsia="方正小标宋_GBK" w:hAnsi="宋体" w:cs="宋体" w:hint="eastAsia"/>
          <w:bCs/>
          <w:kern w:val="0"/>
          <w:sz w:val="40"/>
          <w:szCs w:val="40"/>
        </w:rPr>
        <w:t>住院医师规范化培训结业</w:t>
      </w:r>
    </w:p>
    <w:p w:rsidR="00225B11" w:rsidRDefault="00225B11" w:rsidP="00225B11">
      <w:pPr>
        <w:spacing w:line="570" w:lineRule="exact"/>
        <w:jc w:val="center"/>
        <w:rPr>
          <w:rFonts w:ascii="方正小标宋_GBK" w:eastAsia="方正小标宋_GBK" w:hAnsi="宋体" w:cs="宋体" w:hint="eastAsia"/>
          <w:bCs/>
          <w:kern w:val="0"/>
          <w:sz w:val="40"/>
          <w:szCs w:val="40"/>
        </w:rPr>
      </w:pPr>
      <w:r>
        <w:rPr>
          <w:rFonts w:ascii="方正小标宋_GBK" w:eastAsia="方正小标宋_GBK" w:hAnsi="宋体" w:cs="宋体" w:hint="eastAsia"/>
          <w:bCs/>
          <w:kern w:val="0"/>
          <w:sz w:val="40"/>
          <w:szCs w:val="40"/>
        </w:rPr>
        <w:t>临床实践能力考试基地要求</w:t>
      </w:r>
    </w:p>
    <w:p w:rsidR="00225B11" w:rsidRDefault="00225B11" w:rsidP="00225B11">
      <w:pPr>
        <w:spacing w:line="570" w:lineRule="exact"/>
        <w:rPr>
          <w:rFonts w:ascii="仿宋_GB2312" w:eastAsia="仿宋_GB2312" w:hAnsi="仿宋_GB2312" w:cs="仿宋_GB2312" w:hint="eastAsia"/>
          <w:sz w:val="32"/>
          <w:szCs w:val="32"/>
        </w:rPr>
      </w:pP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内蒙古自治区住院医师规范化培训结业临床实践能力考试基地（以下简称“考试基地”）要求如下：</w:t>
      </w:r>
    </w:p>
    <w:p w:rsidR="00225B11" w:rsidRDefault="00225B11" w:rsidP="00225B11">
      <w:pPr>
        <w:spacing w:line="57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一、考试基地基本要求</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（一）设置原则</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考试基地设有临床技能中心，具备相应考试学科的各项考试条件，能按临床实践能力考试考站顺序和考务管理要求执行考务工作。</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（二）组织领导</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主要领导担任考试基地主任，基地主任全面负责临床考试基地建设和考试实施；考务负责人全面负责本基地考试考务相关工作；总考官指导和监督本专业考官执考。</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（三）制度要求</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试基地应建立考试工作方案、试卷保密管理制度（包括试卷存放、使用、回收等各流程的管理要求、人员职责等）、考官职责和执考要求、各类考务工作人员职责、考试成绩管理制度、考试监管与违规处理制度、考试突发事件应急预案等，并抓好各项制度的落实。</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（四）场地要求</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1.设置考站（考组）。各考站应分别设置在独立的区域内，</w:t>
      </w:r>
      <w:r>
        <w:rPr>
          <w:rFonts w:ascii="仿宋_GB2312" w:eastAsia="仿宋_GB2312" w:hAnsi="仿宋_GB2312" w:cs="仿宋_GB2312" w:hint="eastAsia"/>
          <w:sz w:val="32"/>
          <w:szCs w:val="32"/>
        </w:rPr>
        <w:lastRenderedPageBreak/>
        <w:t>各站标示清楚，站与站之间有清晰指示牌；每站可设置若干考组，考组之间相对独立，互不干扰。考试场所安静、明亮、宽敞、舒适，有电源、水源、防暑降温设备、消防及安全通道。</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2.设置单独的候考区并配有座椅。</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3.设置签到处、存包处。</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4.设置独立、保密的阅卷室。</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5.设置试卷临时保管室，配有带锁铁柜，存放当天试卷资料。</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6.设置考务办公室。用于分发、回收、清点、整理试卷及处理各类突发事件的办公场所，并设置用于存放考官、考务相关人员通讯设备的场所。</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7.考场入口等醒目位置需张贴考生须知、考试流程、违规处理规定、考站分布图、举报电话等考试有关需要公示的内容。</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8.设置警戒线。考试场所周围所有出入口应设有警戒线，并有保安值守。</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（五）各考站场地设施</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具体要求考前发放到各考试基地。</w:t>
      </w:r>
    </w:p>
    <w:p w:rsidR="00225B11" w:rsidRDefault="00225B11" w:rsidP="00225B11">
      <w:pPr>
        <w:spacing w:line="570" w:lineRule="exact"/>
        <w:ind w:firstLineChars="200" w:firstLine="640"/>
        <w:rPr>
          <w:rFonts w:ascii="黑体" w:eastAsia="黑体" w:hAnsi="黑体" w:cs="黑体" w:hint="eastAsia"/>
          <w:sz w:val="32"/>
          <w:szCs w:val="32"/>
          <w:lang w:val="zh-CN"/>
        </w:rPr>
      </w:pPr>
      <w:r>
        <w:rPr>
          <w:rFonts w:ascii="黑体" w:eastAsia="黑体" w:hAnsi="黑体" w:cs="黑体" w:hint="eastAsia"/>
          <w:sz w:val="32"/>
          <w:szCs w:val="32"/>
          <w:lang w:val="zh-CN"/>
        </w:rPr>
        <w:t>二、考官管理</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（一）考官设置</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自治区各专业设1名首席考官；考试基地每个专业各设总考官1名，由考试基地指定；每个考组设2名考官，执考的同组考官必须由来自不同医院的人员组成，由各承接考试</w:t>
      </w:r>
      <w:r>
        <w:rPr>
          <w:rFonts w:ascii="仿宋_GB2312" w:eastAsia="仿宋_GB2312" w:hAnsi="仿宋_GB2312" w:cs="仿宋_GB2312" w:hint="eastAsia"/>
          <w:sz w:val="32"/>
          <w:szCs w:val="32"/>
        </w:rPr>
        <w:lastRenderedPageBreak/>
        <w:t>的基地自行协调解决。</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（二）考官职责</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首席考官：负责全区实践能力考试的考官培训与考试的全面业务工作，指导考试实施的业务工作。</w:t>
      </w:r>
    </w:p>
    <w:p w:rsidR="00225B11" w:rsidRDefault="00225B11" w:rsidP="00225B11">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总考官：全面负责所在考试基地本专业的组织、协调工作，指导和监督考官执考，处理考试过程中遇到的各类突发情况。</w:t>
      </w:r>
    </w:p>
    <w:p w:rsidR="00225B11" w:rsidRDefault="00225B11" w:rsidP="00225B11">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考官：严格按照实践能力考试相关要求，对照评分标准对考生应试情况进行评分。</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（三）考官选聘</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1.考官条件</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（1）为人正直，品行端正，有良好的医德医风。</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（2）遵守国家法律，遵守考试保密规定，严格执行考试纪律。</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（3）具有副主任医师及以上专业技术职务或三年以上主治医师并有指导住院医师培训的经历。</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（4）参加全区统一组织的考官培训。</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2.总考官条件</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除具备考官的条件外，还应具备：</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（1）主任医师专业技术职务，具有丰富的临床实践及带教工作经验。</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（2）具备较强的组织协调能力，能解决本考试基地考试过程中发生的各类突发事件。</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（四）考官纪律</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考官必须依法执考，规范执考，公平、公正评分。考官</w:t>
      </w:r>
      <w:r>
        <w:rPr>
          <w:rFonts w:ascii="仿宋_GB2312" w:eastAsia="仿宋_GB2312" w:hAnsi="仿宋_GB2312" w:cs="仿宋_GB2312" w:hint="eastAsia"/>
          <w:sz w:val="32"/>
          <w:szCs w:val="32"/>
          <w:lang w:val="zh-CN"/>
        </w:rPr>
        <w:lastRenderedPageBreak/>
        <w:t>执考要求穿白衣、配胸牌，严格遵守考试时间，执考中考官应注意保护考试材料，避免泄露，认真领会评分标准，严禁“人情分”，严禁违规更改考试成绩，严禁故意泄露考试内容。成绩未公布前不得透露考试结果。考官不得组织、参与任何形式的考生应试培训活动。</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对于违反考试纪律，不按规定执考，甚至参与考试作弊的考官，一经查实，取消考官资格，并按规定视情节轻重做出相应处理。</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（五）考官培训</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考官必须经培训后上岗。参加培训的各级考官人数应适当多于实际需要的考官人数。</w:t>
      </w:r>
    </w:p>
    <w:p w:rsidR="00225B11" w:rsidRDefault="00225B11" w:rsidP="00225B11">
      <w:pPr>
        <w:spacing w:line="570" w:lineRule="exact"/>
        <w:ind w:firstLineChars="200" w:firstLine="640"/>
        <w:rPr>
          <w:rFonts w:ascii="黑体" w:eastAsia="黑体" w:hAnsi="黑体" w:cs="黑体" w:hint="eastAsia"/>
          <w:sz w:val="32"/>
          <w:szCs w:val="32"/>
          <w:lang w:val="zh-CN"/>
        </w:rPr>
      </w:pPr>
      <w:r>
        <w:rPr>
          <w:rFonts w:ascii="黑体" w:eastAsia="黑体" w:hAnsi="黑体" w:cs="黑体" w:hint="eastAsia"/>
          <w:sz w:val="32"/>
          <w:szCs w:val="32"/>
          <w:lang w:val="zh-CN"/>
        </w:rPr>
        <w:t>三、考务管理</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（一）考试基地考前准备</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各考试基地应在考前根据基地考生人数合理确定考组数，选聘考官和考务人员，准备各考站的场地、设施和有关器材。与有关工作人员和考官应签订《保密责任书》。张贴有关标识、划定警戒区域；建立监督和突发事件处置机制。</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（二）确定考务人员，明确各自职责</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 xml:space="preserve">基地要配备保密、监考、巡考、引导、医疗、保卫和考试设备设施维护人员等。其中监考、巡考、引导和督察人员根据考生规模和考组数配备。考务人员职责如下： </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（1）保密人员：负责考试资料的保管、分发等保密工作。</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（2）监考人员：负责维护考试纪律及考场的组织管理工作。</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lastRenderedPageBreak/>
        <w:t>（3）巡考人员：负责维护考试指定区域内秩序，监督保密制度落实及考风考纪管理情况。</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（4）引导人员：负责引导考生按照指定路径和程序进行考试，并传递有关资料；引导和传递资料过程中应按照要求使用标准用语和手势，不得与考生交谈，不得打开所传递资料；每考组应配备1名引导员。</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（5）医疗人员：负责对考试实施过程中发生疾病的人员进行必要的医疗救治。</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（6）保卫人员：负责实践技能考试正常秩序与安全。</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（7）考试设备设施维护人员：负责考试相关的设备设施维护，有关耗材准备和补充等。</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（三）考站管理</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应合理设置各站位置，引导考生在各考站间合理流动，确保考生在流动中不交叉。基地主任和各专业负责人应协调各站考试工作有序进行，调配有关器材设施使用；基地主任、考务负责人和总考官要监督考务人员和考官按照职责工作。上岗期间，考务人员着装整洁，佩戴标识清楚。对于违规的考生、考官和考务工作人员，应及时按照规定予以处理和报告。</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（四）考试的监督检查</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t>各盟市卫生健康委在实践能力考试期间负责监督本辖区内各考试基地执考情况；自治区拟派出巡考人员赴各考试基地进行实地巡查。</w:t>
      </w:r>
    </w:p>
    <w:p w:rsidR="00225B11" w:rsidRDefault="00225B11" w:rsidP="00225B11">
      <w:pPr>
        <w:spacing w:line="57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（五）考试成绩管理</w:t>
      </w:r>
    </w:p>
    <w:p w:rsidR="00225B11" w:rsidRDefault="00225B11" w:rsidP="00225B11">
      <w:pPr>
        <w:spacing w:line="570" w:lineRule="exact"/>
        <w:ind w:firstLineChars="200" w:firstLine="640"/>
        <w:rPr>
          <w:rFonts w:ascii="仿宋_GB2312" w:eastAsia="仿宋_GB2312" w:hAnsi="仿宋_GB2312" w:cs="仿宋_GB2312" w:hint="eastAsia"/>
          <w:sz w:val="32"/>
          <w:szCs w:val="32"/>
          <w:lang w:val="zh-CN"/>
        </w:rPr>
      </w:pPr>
      <w:r>
        <w:rPr>
          <w:rFonts w:ascii="仿宋_GB2312" w:eastAsia="仿宋_GB2312" w:hAnsi="仿宋_GB2312" w:cs="仿宋_GB2312" w:hint="eastAsia"/>
          <w:sz w:val="32"/>
          <w:szCs w:val="32"/>
          <w:lang w:val="zh-CN"/>
        </w:rPr>
        <w:lastRenderedPageBreak/>
        <w:t>加强成绩录入与管理。各基地应于该专业考试结束24小时内完成考生成绩录入，生成考生成绩表数据并封存；各站评分结束后，不得更改考生评分表上的考试成绩，录入考生评分表成绩时，须双人双核，确保准确无误。</w:t>
      </w:r>
    </w:p>
    <w:p w:rsidR="00225B11" w:rsidRDefault="00225B11" w:rsidP="00225B11">
      <w:pPr>
        <w:spacing w:line="57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zh-CN"/>
        </w:rPr>
        <w:t>考生成绩表数据、考试试卷材料于考试结束3天内报送自治区住院医师规范化培训管理服务中心。</w:t>
      </w:r>
    </w:p>
    <w:p w:rsidR="00225B11" w:rsidRDefault="00225B11" w:rsidP="00225B11">
      <w:pPr>
        <w:spacing w:line="570" w:lineRule="exact"/>
        <w:ind w:firstLineChars="200" w:firstLine="640"/>
        <w:rPr>
          <w:rFonts w:ascii="黑体" w:eastAsia="黑体" w:hAnsi="黑体" w:cs="黑体" w:hint="eastAsia"/>
          <w:sz w:val="32"/>
          <w:szCs w:val="32"/>
          <w:lang w:val="zh-CN"/>
        </w:rPr>
      </w:pPr>
      <w:r>
        <w:rPr>
          <w:rFonts w:ascii="黑体" w:eastAsia="黑体" w:hAnsi="黑体" w:cs="黑体" w:hint="eastAsia"/>
          <w:sz w:val="32"/>
          <w:szCs w:val="32"/>
          <w:lang w:val="zh-CN"/>
        </w:rPr>
        <w:t>四、上报材料</w:t>
      </w:r>
    </w:p>
    <w:p w:rsidR="00225B11" w:rsidRDefault="00225B11" w:rsidP="00225B11">
      <w:pPr>
        <w:spacing w:line="57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为规范住院医师规范化培训结业临床实践能力考试管理，建立和完善考试机制，确保临床实践能力考试工作科学有效、安全有序地开展，请</w:t>
      </w:r>
      <w:r>
        <w:rPr>
          <w:rFonts w:ascii="仿宋_GB2312" w:eastAsia="仿宋_GB2312" w:hAnsi="仿宋_GB2312" w:cs="仿宋_GB2312" w:hint="eastAsia"/>
          <w:sz w:val="32"/>
          <w:szCs w:val="32"/>
          <w:lang w:val="zh-CN"/>
        </w:rPr>
        <w:t>各考试基地将</w:t>
      </w:r>
      <w:r>
        <w:rPr>
          <w:rFonts w:ascii="仿宋_GB2312" w:eastAsia="仿宋_GB2312" w:hAnsi="仿宋_GB2312" w:cs="仿宋_GB2312" w:hint="eastAsia"/>
          <w:sz w:val="32"/>
          <w:szCs w:val="32"/>
        </w:rPr>
        <w:t>下列材料：基地考试实施组织管理负责人名单、管理人员体系、工作流程、应急预案，上报至</w:t>
      </w:r>
      <w:r>
        <w:rPr>
          <w:rFonts w:ascii="仿宋_GB2312" w:eastAsia="仿宋_GB2312" w:hAnsi="仿宋_GB2312" w:cs="仿宋_GB2312" w:hint="eastAsia"/>
          <w:sz w:val="32"/>
          <w:szCs w:val="32"/>
          <w:lang w:val="zh-CN"/>
        </w:rPr>
        <w:t>自治区住院医师规范化培训管理服务中心</w:t>
      </w:r>
      <w:r>
        <w:rPr>
          <w:rFonts w:ascii="仿宋_GB2312" w:eastAsia="仿宋_GB2312" w:hAnsi="仿宋_GB2312" w:cs="仿宋_GB2312" w:hint="eastAsia"/>
          <w:sz w:val="32"/>
          <w:szCs w:val="32"/>
        </w:rPr>
        <w:t>。</w:t>
      </w:r>
    </w:p>
    <w:p w:rsidR="00225B11" w:rsidRDefault="00225B11" w:rsidP="00225B11">
      <w:pPr>
        <w:spacing w:line="570" w:lineRule="exact"/>
        <w:ind w:firstLineChars="200" w:firstLine="640"/>
      </w:pPr>
      <w:r>
        <w:rPr>
          <w:rFonts w:ascii="仿宋_GB2312" w:eastAsia="仿宋_GB2312" w:hAnsi="仿宋_GB2312" w:cs="仿宋_GB2312" w:hint="eastAsia"/>
          <w:sz w:val="32"/>
          <w:szCs w:val="32"/>
        </w:rPr>
        <w:t>上述材料</w:t>
      </w:r>
      <w:r>
        <w:rPr>
          <w:rFonts w:ascii="仿宋_GB2312" w:eastAsia="仿宋_GB2312" w:hAnsi="仿宋_GB2312" w:cs="仿宋_GB2312" w:hint="eastAsia"/>
          <w:sz w:val="32"/>
          <w:szCs w:val="32"/>
          <w:lang w:val="zh-CN"/>
        </w:rPr>
        <w:t>电子版于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lang w:val="zh-CN"/>
        </w:rPr>
        <w:t>日前报自治区住院医师规范化培训管理服务中心备案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邮箱</w:t>
      </w:r>
      <w:r>
        <w:rPr>
          <w:rFonts w:ascii="仿宋_GB2312" w:eastAsia="仿宋_GB2312" w:hAnsi="仿宋_GB2312" w:cs="仿宋_GB2312" w:hint="eastAsia"/>
          <w:sz w:val="32"/>
          <w:szCs w:val="32"/>
        </w:rPr>
        <w:t>：zpglfwzx@163.com）；</w:t>
      </w:r>
      <w:r>
        <w:rPr>
          <w:rFonts w:ascii="仿宋_GB2312" w:eastAsia="仿宋_GB2312" w:hAnsi="仿宋_GB2312" w:cs="仿宋_GB2312" w:hint="eastAsia"/>
          <w:sz w:val="32"/>
          <w:szCs w:val="32"/>
          <w:lang w:val="zh-CN"/>
        </w:rPr>
        <w:t>实践能力考试工作结束后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将工作总结报自治区住院医师规范化培训管理服务中心。</w:t>
      </w:r>
    </w:p>
    <w:p w:rsidR="00B077B0" w:rsidRPr="00225B11" w:rsidRDefault="00B077B0">
      <w:bookmarkStart w:id="0" w:name="_GoBack"/>
      <w:bookmarkEnd w:id="0"/>
    </w:p>
    <w:sectPr w:rsidR="00B077B0" w:rsidRPr="00225B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11"/>
    <w:rsid w:val="00041866"/>
    <w:rsid w:val="000448C7"/>
    <w:rsid w:val="000A0CD5"/>
    <w:rsid w:val="000C67DD"/>
    <w:rsid w:val="000F1663"/>
    <w:rsid w:val="000F2C03"/>
    <w:rsid w:val="0013768D"/>
    <w:rsid w:val="001C020E"/>
    <w:rsid w:val="001E6D4F"/>
    <w:rsid w:val="00225B11"/>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24BC-DC62-41D4-AD54-5E7AC43C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1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2024-04-18T08:17:00Z</dcterms:created>
  <dcterms:modified xsi:type="dcterms:W3CDTF">2024-04-18T08:18:00Z</dcterms:modified>
</cp:coreProperties>
</file>